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方正小标宋简体" w:eastAsia="方正小标宋简体" w:cs="方正小标宋简体"/>
          <w:color w:val="000000"/>
          <w:sz w:val="44"/>
          <w:szCs w:val="44"/>
        </w:rPr>
      </w:pPr>
      <w:bookmarkStart w:id="0" w:name="OLE_LINK2"/>
      <w:r>
        <w:rPr>
          <w:rFonts w:hint="eastAsia" w:ascii="方正小标宋简体" w:hAnsi="方正小标宋简体" w:eastAsia="方正小标宋简体" w:cs="方正小标宋简体"/>
          <w:color w:val="000000"/>
          <w:sz w:val="44"/>
          <w:szCs w:val="44"/>
        </w:rPr>
        <w:t>吉安市海绵城市建设管理条例</w:t>
      </w:r>
    </w:p>
    <w:p>
      <w:pPr>
        <w:spacing w:line="600" w:lineRule="exact"/>
        <w:jc w:val="center"/>
        <w:rPr>
          <w:rFonts w:ascii="CESI楷体-GB2312" w:hAnsi="CESI楷体-GB2312" w:eastAsia="CESI楷体-GB2312" w:cs="CESI楷体-GB2312"/>
          <w:color w:val="000000"/>
          <w:sz w:val="32"/>
          <w:szCs w:val="32"/>
        </w:rPr>
      </w:pPr>
    </w:p>
    <w:p>
      <w:pPr>
        <w:spacing w:line="600" w:lineRule="exact"/>
        <w:jc w:val="center"/>
        <w:rPr>
          <w:rFonts w:hint="eastAsia" w:ascii="楷体_GB2312" w:hAnsi="CESI楷体-GB2312" w:eastAsia="楷体_GB2312" w:cs="CESI楷体-GB2312"/>
          <w:color w:val="000000"/>
          <w:spacing w:val="0"/>
          <w:sz w:val="32"/>
          <w:szCs w:val="32"/>
        </w:rPr>
      </w:pPr>
      <w:r>
        <w:rPr>
          <w:rFonts w:hint="eastAsia" w:ascii="楷体_GB2312" w:hAnsi="CESI楷体-GB2312" w:eastAsia="楷体_GB2312" w:cs="CESI楷体-GB2312"/>
          <w:color w:val="000000"/>
          <w:spacing w:val="0"/>
          <w:sz w:val="32"/>
          <w:szCs w:val="32"/>
        </w:rPr>
        <w:t>（2023年8月30日吉安市第五届人民代表大会常务委员</w:t>
      </w:r>
    </w:p>
    <w:p>
      <w:pPr>
        <w:spacing w:line="600" w:lineRule="exact"/>
        <w:jc w:val="center"/>
        <w:rPr>
          <w:rFonts w:hint="eastAsia" w:ascii="楷体_GB2312" w:hAnsi="CESI楷体-GB2312" w:eastAsia="楷体_GB2312" w:cs="CESI楷体-GB2312"/>
          <w:color w:val="000000"/>
          <w:spacing w:val="0"/>
          <w:sz w:val="32"/>
          <w:szCs w:val="32"/>
        </w:rPr>
      </w:pPr>
      <w:r>
        <w:rPr>
          <w:rFonts w:hint="eastAsia" w:ascii="楷体_GB2312" w:hAnsi="CESI楷体-GB2312" w:eastAsia="楷体_GB2312" w:cs="CESI楷体-GB2312"/>
          <w:color w:val="000000"/>
          <w:spacing w:val="0"/>
          <w:sz w:val="32"/>
          <w:szCs w:val="32"/>
        </w:rPr>
        <w:t>第十八次会议通过</w:t>
      </w:r>
      <w:r>
        <w:rPr>
          <w:rFonts w:hint="eastAsia" w:ascii="楷体_GB2312" w:hAnsi="CESI楷体-GB2312" w:eastAsia="楷体_GB2312" w:cs="CESI楷体-GB2312"/>
          <w:color w:val="000000"/>
          <w:spacing w:val="0"/>
          <w:sz w:val="32"/>
          <w:szCs w:val="32"/>
          <w:lang w:val="en-US" w:eastAsia="zh-CN"/>
        </w:rPr>
        <w:t xml:space="preserve">  2023</w:t>
      </w:r>
      <w:r>
        <w:rPr>
          <w:rFonts w:hint="eastAsia" w:ascii="楷体_GB2312" w:hAnsi="CESI楷体-GB2312" w:eastAsia="楷体_GB2312" w:cs="CESI楷体-GB2312"/>
          <w:color w:val="000000"/>
          <w:spacing w:val="0"/>
          <w:sz w:val="32"/>
          <w:szCs w:val="32"/>
        </w:rPr>
        <w:t>年</w:t>
      </w:r>
      <w:r>
        <w:rPr>
          <w:rFonts w:hint="eastAsia" w:ascii="楷体_GB2312" w:hAnsi="CESI楷体-GB2312" w:eastAsia="楷体_GB2312" w:cs="CESI楷体-GB2312"/>
          <w:color w:val="000000"/>
          <w:spacing w:val="0"/>
          <w:sz w:val="32"/>
          <w:szCs w:val="32"/>
          <w:lang w:val="en-US" w:eastAsia="zh-CN"/>
        </w:rPr>
        <w:t>9</w:t>
      </w:r>
      <w:r>
        <w:rPr>
          <w:rFonts w:hint="eastAsia" w:ascii="楷体_GB2312" w:hAnsi="CESI楷体-GB2312" w:eastAsia="楷体_GB2312" w:cs="CESI楷体-GB2312"/>
          <w:color w:val="000000"/>
          <w:spacing w:val="0"/>
          <w:sz w:val="32"/>
          <w:szCs w:val="32"/>
        </w:rPr>
        <w:t>月</w:t>
      </w:r>
      <w:r>
        <w:rPr>
          <w:rFonts w:hint="eastAsia" w:ascii="楷体_GB2312" w:hAnsi="CESI楷体-GB2312" w:eastAsia="楷体_GB2312" w:cs="CESI楷体-GB2312"/>
          <w:color w:val="000000"/>
          <w:spacing w:val="0"/>
          <w:sz w:val="32"/>
          <w:szCs w:val="32"/>
          <w:lang w:val="en-US" w:eastAsia="zh-CN"/>
        </w:rPr>
        <w:t>27</w:t>
      </w:r>
      <w:r>
        <w:rPr>
          <w:rFonts w:hint="eastAsia" w:ascii="楷体_GB2312" w:hAnsi="CESI楷体-GB2312" w:eastAsia="楷体_GB2312" w:cs="CESI楷体-GB2312"/>
          <w:color w:val="000000"/>
          <w:spacing w:val="0"/>
          <w:sz w:val="32"/>
          <w:szCs w:val="32"/>
        </w:rPr>
        <w:t>日江西省第十四届</w:t>
      </w:r>
    </w:p>
    <w:p>
      <w:pPr>
        <w:spacing w:line="600" w:lineRule="exact"/>
        <w:jc w:val="center"/>
        <w:rPr>
          <w:rFonts w:hint="eastAsia" w:ascii="楷体_GB2312" w:hAnsi="CESI楷体-GB2312" w:eastAsia="楷体_GB2312" w:cs="CESI楷体-GB2312"/>
          <w:color w:val="000000"/>
          <w:spacing w:val="0"/>
          <w:sz w:val="32"/>
          <w:szCs w:val="32"/>
        </w:rPr>
      </w:pPr>
      <w:r>
        <w:rPr>
          <w:rFonts w:hint="eastAsia" w:ascii="楷体_GB2312" w:hAnsi="CESI楷体-GB2312" w:eastAsia="楷体_GB2312" w:cs="CESI楷体-GB2312"/>
          <w:color w:val="000000"/>
          <w:spacing w:val="0"/>
          <w:sz w:val="32"/>
          <w:szCs w:val="32"/>
        </w:rPr>
        <w:t>人民代表大会常务委员会第</w:t>
      </w:r>
      <w:r>
        <w:rPr>
          <w:rFonts w:hint="eastAsia" w:ascii="楷体_GB2312" w:hAnsi="CESI楷体-GB2312" w:eastAsia="楷体_GB2312" w:cs="CESI楷体-GB2312"/>
          <w:color w:val="000000"/>
          <w:spacing w:val="0"/>
          <w:sz w:val="32"/>
          <w:szCs w:val="32"/>
          <w:lang w:eastAsia="zh-CN"/>
        </w:rPr>
        <w:t>四</w:t>
      </w:r>
      <w:r>
        <w:rPr>
          <w:rFonts w:hint="eastAsia" w:ascii="楷体_GB2312" w:hAnsi="CESI楷体-GB2312" w:eastAsia="楷体_GB2312" w:cs="CESI楷体-GB2312"/>
          <w:color w:val="000000"/>
          <w:spacing w:val="0"/>
          <w:sz w:val="32"/>
          <w:szCs w:val="32"/>
        </w:rPr>
        <w:t>次会议批准）</w:t>
      </w:r>
    </w:p>
    <w:p>
      <w:pPr>
        <w:pStyle w:val="8"/>
        <w:spacing w:after="0" w:line="560" w:lineRule="exact"/>
        <w:ind w:left="0" w:leftChars="0" w:firstLine="0" w:firstLineChars="0"/>
        <w:jc w:val="center"/>
        <w:rPr>
          <w:rFonts w:ascii="仿宋_GB2312" w:hAnsi="楷体_GB2312" w:eastAsia="仿宋_GB2312" w:cs="仿宋_GB2312"/>
          <w:color w:val="000000"/>
          <w:sz w:val="32"/>
          <w:szCs w:val="32"/>
        </w:rPr>
      </w:pPr>
    </w:p>
    <w:p>
      <w:pPr>
        <w:pStyle w:val="8"/>
        <w:spacing w:after="0" w:line="560" w:lineRule="exact"/>
        <w:ind w:left="0" w:leftChars="0" w:firstLine="0" w:firstLineChars="0"/>
        <w:jc w:val="center"/>
        <w:rPr>
          <w:rFonts w:ascii="黑体" w:hAnsi="黑体" w:eastAsia="黑体" w:cs="仿宋_GB2312"/>
          <w:color w:val="000000"/>
          <w:sz w:val="32"/>
          <w:szCs w:val="32"/>
        </w:rPr>
      </w:pPr>
      <w:r>
        <w:rPr>
          <w:rFonts w:hint="eastAsia" w:ascii="黑体" w:hAnsi="黑体" w:eastAsia="黑体" w:cs="仿宋_GB2312"/>
          <w:color w:val="000000"/>
          <w:sz w:val="32"/>
          <w:szCs w:val="32"/>
        </w:rPr>
        <w:t>目  录</w:t>
      </w:r>
    </w:p>
    <w:p>
      <w:pPr>
        <w:spacing w:line="560" w:lineRule="exact"/>
        <w:ind w:firstLine="1440" w:firstLineChars="450"/>
        <w:rPr>
          <w:rFonts w:ascii="黑体" w:hAnsi="黑体" w:eastAsia="黑体" w:cs="CESI黑体-GB2312"/>
          <w:color w:val="000000"/>
          <w:sz w:val="32"/>
          <w:szCs w:val="32"/>
        </w:rPr>
      </w:pPr>
    </w:p>
    <w:p>
      <w:pPr>
        <w:spacing w:line="560" w:lineRule="exact"/>
        <w:ind w:firstLine="1440" w:firstLineChars="450"/>
        <w:rPr>
          <w:rFonts w:hint="eastAsia" w:ascii="楷体_GB2312" w:hAnsi="CESI楷体-GB2312" w:eastAsia="楷体_GB2312" w:cs="CESI楷体-GB2312"/>
          <w:color w:val="000000"/>
          <w:sz w:val="32"/>
          <w:szCs w:val="32"/>
        </w:rPr>
      </w:pPr>
      <w:r>
        <w:rPr>
          <w:rFonts w:hint="eastAsia" w:ascii="楷体_GB2312" w:hAnsi="CESI楷体-GB2312" w:eastAsia="楷体_GB2312" w:cs="CESI楷体-GB2312"/>
          <w:color w:val="000000"/>
          <w:sz w:val="32"/>
          <w:szCs w:val="32"/>
        </w:rPr>
        <w:t>第一章  总</w:t>
      </w:r>
      <w:r>
        <w:rPr>
          <w:rFonts w:hint="eastAsia" w:ascii="楷体_GB2312" w:hAnsi="CESI楷体-GB2312" w:eastAsia="楷体_GB2312" w:cs="CESI楷体-GB2312"/>
          <w:color w:val="000000"/>
          <w:sz w:val="32"/>
          <w:szCs w:val="32"/>
          <w:lang w:val="en-US" w:eastAsia="zh-CN"/>
        </w:rPr>
        <w:t xml:space="preserve">  </w:t>
      </w:r>
      <w:r>
        <w:rPr>
          <w:rFonts w:hint="eastAsia" w:ascii="楷体_GB2312" w:hAnsi="CESI楷体-GB2312" w:eastAsia="楷体_GB2312" w:cs="CESI楷体-GB2312"/>
          <w:color w:val="000000"/>
          <w:sz w:val="32"/>
          <w:szCs w:val="32"/>
        </w:rPr>
        <w:t>则</w:t>
      </w:r>
    </w:p>
    <w:p>
      <w:pPr>
        <w:spacing w:line="560" w:lineRule="exact"/>
        <w:ind w:firstLine="1440" w:firstLineChars="450"/>
        <w:rPr>
          <w:rFonts w:hint="eastAsia" w:ascii="楷体_GB2312" w:hAnsi="CESI楷体-GB2312" w:eastAsia="楷体_GB2312" w:cs="CESI楷体-GB2312"/>
          <w:color w:val="000000"/>
          <w:sz w:val="32"/>
          <w:szCs w:val="32"/>
        </w:rPr>
      </w:pPr>
      <w:r>
        <w:rPr>
          <w:rFonts w:hint="eastAsia" w:ascii="楷体_GB2312" w:hAnsi="CESI楷体-GB2312" w:eastAsia="楷体_GB2312" w:cs="CESI楷体-GB2312"/>
          <w:color w:val="000000"/>
          <w:sz w:val="32"/>
          <w:szCs w:val="32"/>
        </w:rPr>
        <w:t>第二章  规划与建设</w:t>
      </w:r>
    </w:p>
    <w:p>
      <w:pPr>
        <w:spacing w:line="560" w:lineRule="exact"/>
        <w:ind w:firstLine="1440" w:firstLineChars="450"/>
        <w:rPr>
          <w:rFonts w:hint="eastAsia" w:ascii="楷体_GB2312" w:hAnsi="CESI楷体-GB2312" w:eastAsia="楷体_GB2312" w:cs="CESI楷体-GB2312"/>
          <w:color w:val="000000"/>
          <w:sz w:val="32"/>
          <w:szCs w:val="32"/>
        </w:rPr>
      </w:pPr>
      <w:r>
        <w:rPr>
          <w:rFonts w:hint="eastAsia" w:ascii="楷体_GB2312" w:hAnsi="CESI楷体-GB2312" w:eastAsia="楷体_GB2312" w:cs="CESI楷体-GB2312"/>
          <w:color w:val="000000"/>
          <w:sz w:val="32"/>
          <w:szCs w:val="32"/>
        </w:rPr>
        <w:t>第三章  运营与维护</w:t>
      </w:r>
    </w:p>
    <w:p>
      <w:pPr>
        <w:spacing w:line="560" w:lineRule="exact"/>
        <w:ind w:firstLine="1440" w:firstLineChars="450"/>
        <w:rPr>
          <w:rFonts w:hint="eastAsia" w:ascii="楷体_GB2312" w:hAnsi="CESI楷体-GB2312" w:eastAsia="楷体_GB2312" w:cs="CESI楷体-GB2312"/>
          <w:color w:val="000000"/>
          <w:sz w:val="32"/>
          <w:szCs w:val="32"/>
        </w:rPr>
      </w:pPr>
      <w:r>
        <w:rPr>
          <w:rFonts w:hint="eastAsia" w:ascii="楷体_GB2312" w:hAnsi="CESI楷体-GB2312" w:eastAsia="楷体_GB2312" w:cs="CESI楷体-GB2312"/>
          <w:color w:val="000000"/>
          <w:sz w:val="32"/>
          <w:szCs w:val="32"/>
        </w:rPr>
        <w:t>第四章  法律责任</w:t>
      </w:r>
    </w:p>
    <w:p>
      <w:pPr>
        <w:spacing w:line="560" w:lineRule="exact"/>
        <w:ind w:firstLine="1440" w:firstLineChars="450"/>
        <w:rPr>
          <w:rFonts w:hint="eastAsia" w:ascii="楷体_GB2312" w:hAnsi="CESI楷体-GB2312" w:eastAsia="楷体_GB2312" w:cs="CESI楷体-GB2312"/>
          <w:color w:val="000000"/>
          <w:sz w:val="32"/>
          <w:szCs w:val="32"/>
        </w:rPr>
      </w:pPr>
      <w:r>
        <w:rPr>
          <w:rFonts w:hint="eastAsia" w:ascii="楷体_GB2312" w:hAnsi="CESI楷体-GB2312" w:eastAsia="楷体_GB2312" w:cs="CESI楷体-GB2312"/>
          <w:color w:val="000000"/>
          <w:sz w:val="32"/>
          <w:szCs w:val="32"/>
        </w:rPr>
        <w:t>第五章  附</w:t>
      </w:r>
      <w:r>
        <w:rPr>
          <w:rFonts w:hint="eastAsia" w:ascii="楷体_GB2312" w:hAnsi="CESI楷体-GB2312" w:eastAsia="楷体_GB2312" w:cs="CESI楷体-GB2312"/>
          <w:color w:val="000000"/>
          <w:sz w:val="32"/>
          <w:szCs w:val="32"/>
          <w:lang w:val="en-US" w:eastAsia="zh-CN"/>
        </w:rPr>
        <w:t xml:space="preserve">  </w:t>
      </w:r>
      <w:r>
        <w:rPr>
          <w:rFonts w:hint="eastAsia" w:ascii="楷体_GB2312" w:hAnsi="CESI楷体-GB2312" w:eastAsia="楷体_GB2312" w:cs="CESI楷体-GB2312"/>
          <w:color w:val="000000"/>
          <w:sz w:val="32"/>
          <w:szCs w:val="32"/>
        </w:rPr>
        <w:t>则</w:t>
      </w:r>
    </w:p>
    <w:p>
      <w:pPr>
        <w:pStyle w:val="8"/>
        <w:spacing w:after="0" w:line="520" w:lineRule="exact"/>
        <w:rPr>
          <w:color w:val="000000"/>
        </w:rPr>
      </w:pPr>
    </w:p>
    <w:p>
      <w:pPr>
        <w:pStyle w:val="12"/>
        <w:numPr>
          <w:ilvl w:val="0"/>
          <w:numId w:val="1"/>
        </w:numPr>
        <w:shd w:val="clear" w:color="auto" w:fill="FFFFFF"/>
        <w:spacing w:before="0" w:beforeAutospacing="0" w:after="0" w:afterAutospacing="0" w:line="520" w:lineRule="exact"/>
        <w:jc w:val="center"/>
        <w:rPr>
          <w:rFonts w:ascii="黑体" w:hAnsi="黑体" w:eastAsia="黑体" w:cs="黑体"/>
          <w:color w:val="000000"/>
          <w:sz w:val="32"/>
          <w:szCs w:val="32"/>
          <w:shd w:val="clear" w:color="auto" w:fill="FFFFFF"/>
        </w:rPr>
      </w:pPr>
      <w:r>
        <w:rPr>
          <w:rFonts w:hint="eastAsia" w:ascii="黑体" w:hAnsi="黑体" w:eastAsia="黑体" w:cs="黑体"/>
          <w:color w:val="000000"/>
          <w:sz w:val="32"/>
          <w:szCs w:val="32"/>
          <w:shd w:val="clear" w:color="auto" w:fill="FFFFFF"/>
        </w:rPr>
        <w:t xml:space="preserve"> 总</w:t>
      </w:r>
      <w:r>
        <w:rPr>
          <w:rFonts w:hint="eastAsia" w:ascii="黑体" w:hAnsi="黑体" w:eastAsia="黑体" w:cs="黑体"/>
          <w:color w:val="000000"/>
          <w:sz w:val="32"/>
          <w:szCs w:val="32"/>
          <w:shd w:val="clear" w:color="auto" w:fill="FFFFFF"/>
          <w:lang w:val="en-US" w:eastAsia="zh-CN"/>
        </w:rPr>
        <w:t xml:space="preserve">  </w:t>
      </w:r>
      <w:r>
        <w:rPr>
          <w:rFonts w:hint="eastAsia" w:ascii="黑体" w:hAnsi="黑体" w:eastAsia="黑体" w:cs="黑体"/>
          <w:color w:val="000000"/>
          <w:sz w:val="32"/>
          <w:szCs w:val="32"/>
          <w:shd w:val="clear" w:color="auto" w:fill="FFFFFF"/>
        </w:rPr>
        <w:t>则</w:t>
      </w:r>
    </w:p>
    <w:bookmarkEnd w:id="0"/>
    <w:p>
      <w:pPr>
        <w:pStyle w:val="12"/>
        <w:shd w:val="clear" w:color="auto" w:fill="FFFFFF"/>
        <w:spacing w:before="0" w:beforeAutospacing="0" w:after="0" w:afterAutospacing="0" w:line="520" w:lineRule="exact"/>
        <w:ind w:firstLine="640" w:firstLineChars="200"/>
        <w:rPr>
          <w:rFonts w:ascii="黑体" w:hAnsi="黑体" w:eastAsia="黑体" w:cs="黑体"/>
          <w:color w:val="000000"/>
          <w:sz w:val="32"/>
          <w:szCs w:val="32"/>
          <w:shd w:val="clear" w:color="auto" w:fill="FFFFFF"/>
        </w:rPr>
      </w:pP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20" w:lineRule="exact"/>
        <w:ind w:firstLine="640" w:firstLineChars="200"/>
        <w:textAlignment w:val="auto"/>
        <w:rPr>
          <w:rFonts w:ascii="CESI仿宋-GB2312" w:hAnsi="CESI仿宋-GB2312" w:eastAsia="CESI仿宋-GB2312" w:cs="CESI仿宋-GB2312"/>
          <w:color w:val="000000"/>
          <w:spacing w:val="-6"/>
          <w:sz w:val="32"/>
          <w:szCs w:val="32"/>
        </w:rPr>
      </w:pPr>
      <w:r>
        <w:rPr>
          <w:rFonts w:hint="eastAsia" w:ascii="黑体" w:hAnsi="黑体" w:eastAsia="黑体" w:cs="黑体"/>
          <w:color w:val="000000"/>
          <w:sz w:val="32"/>
          <w:szCs w:val="32"/>
          <w:shd w:val="clear" w:color="auto" w:fill="FFFFFF"/>
        </w:rPr>
        <w:t xml:space="preserve">第一条  </w:t>
      </w:r>
      <w:r>
        <w:rPr>
          <w:rFonts w:hint="eastAsia" w:ascii="仿宋_GB2312" w:hAnsi="CESI仿宋-GB2312" w:eastAsia="仿宋_GB2312" w:cs="CESI仿宋-GB2312"/>
          <w:color w:val="000000"/>
          <w:sz w:val="32"/>
          <w:szCs w:val="32"/>
        </w:rPr>
        <w:t>为了规范海绵城市建设，增强城市防洪防涝减灾能力，保护和改善城市生态环境，促进人与自然和谐发展，</w:t>
      </w:r>
      <w:r>
        <w:rPr>
          <w:rFonts w:hint="eastAsia" w:ascii="仿宋_GB2312" w:hAnsi="CESI仿宋-GB2312" w:eastAsia="仿宋_GB2312" w:cs="CESI仿宋-GB2312"/>
          <w:color w:val="000000"/>
          <w:sz w:val="32"/>
          <w:szCs w:val="32"/>
          <w:shd w:val="clear" w:color="auto" w:fill="FFFFFF"/>
        </w:rPr>
        <w:t>根据《中华人民共和国城</w:t>
      </w:r>
      <w:r>
        <w:rPr>
          <w:rFonts w:hint="eastAsia" w:ascii="仿宋_GB2312" w:hAnsi="CESI仿宋-GB2312" w:eastAsia="仿宋_GB2312" w:cs="CESI仿宋-GB2312"/>
          <w:color w:val="000000"/>
          <w:spacing w:val="-6"/>
          <w:sz w:val="32"/>
          <w:szCs w:val="32"/>
          <w:shd w:val="clear" w:color="auto" w:fill="FFFFFF"/>
        </w:rPr>
        <w:t>乡规划法》和国务院《建设工程质量管理条例》等法律、法规，结合本市实际，制定本条例。</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20" w:lineRule="exact"/>
        <w:ind w:firstLine="640" w:firstLineChars="200"/>
        <w:textAlignment w:val="auto"/>
        <w:rPr>
          <w:rFonts w:ascii="仿宋_GB2312" w:hAnsi="仿宋_GB2312" w:eastAsia="仿宋_GB2312" w:cs="仿宋_GB2312"/>
          <w:color w:val="000000"/>
          <w:sz w:val="32"/>
          <w:szCs w:val="32"/>
          <w:shd w:val="clear" w:color="auto" w:fill="FFFFFF"/>
        </w:rPr>
      </w:pPr>
      <w:r>
        <w:rPr>
          <w:rFonts w:hint="eastAsia" w:ascii="黑体" w:hAnsi="黑体" w:eastAsia="黑体" w:cs="黑体"/>
          <w:color w:val="000000"/>
          <w:sz w:val="32"/>
          <w:szCs w:val="32"/>
          <w:shd w:val="clear" w:color="auto" w:fill="FFFFFF"/>
        </w:rPr>
        <w:t xml:space="preserve">第二条  </w:t>
      </w:r>
      <w:r>
        <w:rPr>
          <w:rFonts w:hint="eastAsia" w:ascii="仿宋_GB2312" w:hAnsi="仿宋_GB2312" w:eastAsia="仿宋_GB2312" w:cs="仿宋_GB2312"/>
          <w:color w:val="000000"/>
          <w:sz w:val="32"/>
          <w:szCs w:val="32"/>
          <w:shd w:val="clear" w:color="auto" w:fill="FFFFFF"/>
        </w:rPr>
        <w:t>本市中心城区以及县级城区城镇开发边界范围内海绵城市的规划建设、运营维护和监督管理等活动，适用本条例。</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20" w:lineRule="exact"/>
        <w:ind w:firstLine="640" w:firstLineChars="200"/>
        <w:textAlignment w:val="auto"/>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市中心城区以及县级城区城镇开发边界范围由依法报经批准的市、县级国土空间总体规划确定。</w:t>
      </w:r>
    </w:p>
    <w:p>
      <w:pPr>
        <w:pStyle w:val="12"/>
        <w:shd w:val="clear" w:color="auto" w:fill="FFFFFF"/>
        <w:spacing w:before="0" w:beforeAutospacing="0" w:after="0" w:afterAutospacing="0" w:line="520" w:lineRule="exact"/>
        <w:ind w:firstLine="640" w:firstLineChars="200"/>
        <w:rPr>
          <w:rFonts w:ascii="仿宋_GB2312" w:hAnsi="仿宋_GB2312" w:eastAsia="仿宋_GB2312"/>
          <w:color w:val="000000"/>
          <w:sz w:val="32"/>
          <w:szCs w:val="32"/>
          <w:shd w:val="clear" w:color="auto" w:fill="FFFFFF"/>
        </w:rPr>
      </w:pPr>
      <w:r>
        <w:rPr>
          <w:rFonts w:hint="eastAsia" w:ascii="黑体" w:hAnsi="黑体" w:eastAsia="黑体" w:cs="黑体"/>
          <w:color w:val="000000"/>
          <w:sz w:val="32"/>
          <w:szCs w:val="32"/>
          <w:shd w:val="clear" w:color="auto" w:fill="FFFFFF"/>
        </w:rPr>
        <w:t xml:space="preserve">第三条  </w:t>
      </w:r>
      <w:r>
        <w:rPr>
          <w:rFonts w:hint="eastAsia" w:ascii="仿宋_GB2312" w:hAnsi="仿宋_GB2312" w:eastAsia="仿宋_GB2312" w:cs="仿宋_GB2312"/>
          <w:color w:val="000000"/>
          <w:sz w:val="32"/>
          <w:szCs w:val="32"/>
          <w:shd w:val="clear" w:color="auto" w:fill="FFFFFF"/>
        </w:rPr>
        <w:t>本条例所称海绵城市，是指通过加强城市规划建设管理，发挥建筑、道路和绿地、水系等生态系统对雨水的吸纳、蓄渗和缓释作用，控制雨水径流，实现自然积存、自然渗透、自然净化的城市发展方式。</w:t>
      </w:r>
    </w:p>
    <w:p>
      <w:pPr>
        <w:pStyle w:val="12"/>
        <w:shd w:val="clear" w:color="auto" w:fill="FFFFFF"/>
        <w:spacing w:before="0" w:beforeAutospacing="0" w:after="0" w:afterAutospacing="0" w:line="520" w:lineRule="exact"/>
        <w:ind w:firstLine="640" w:firstLineChars="200"/>
        <w:rPr>
          <w:rFonts w:ascii="仿宋_GB2312" w:hAnsi="仿宋_GB2312" w:eastAsia="仿宋_GB2312" w:cs="仿宋_GB2312"/>
          <w:color w:val="000000"/>
          <w:sz w:val="32"/>
          <w:szCs w:val="32"/>
          <w:shd w:val="clear" w:color="auto" w:fill="FFFFFF"/>
        </w:rPr>
      </w:pPr>
      <w:r>
        <w:rPr>
          <w:rFonts w:hint="eastAsia" w:ascii="黑体" w:hAnsi="黑体" w:eastAsia="黑体" w:cs="黑体"/>
          <w:color w:val="000000"/>
          <w:sz w:val="32"/>
          <w:szCs w:val="32"/>
          <w:shd w:val="clear" w:color="auto" w:fill="FFFFFF"/>
        </w:rPr>
        <w:t xml:space="preserve">第四条  </w:t>
      </w:r>
      <w:r>
        <w:rPr>
          <w:rFonts w:hint="eastAsia" w:ascii="仿宋_GB2312" w:hAnsi="仿宋_GB2312" w:eastAsia="仿宋_GB2312" w:cs="仿宋_GB2312"/>
          <w:color w:val="000000"/>
          <w:sz w:val="32"/>
          <w:szCs w:val="32"/>
          <w:shd w:val="clear" w:color="auto" w:fill="FFFFFF"/>
        </w:rPr>
        <w:t>海绵城市建设管理应当遵循生态优先、自然循环，规划引领、统筹推进，政府引导、社会参与的原则。</w:t>
      </w:r>
    </w:p>
    <w:p>
      <w:pPr>
        <w:pStyle w:val="12"/>
        <w:shd w:val="clear" w:color="auto" w:fill="FFFFFF"/>
        <w:spacing w:before="0" w:beforeAutospacing="0" w:after="0" w:afterAutospacing="0" w:line="520" w:lineRule="exact"/>
        <w:ind w:firstLine="640" w:firstLineChars="200"/>
        <w:rPr>
          <w:rFonts w:ascii="仿宋_GB2312" w:hAnsi="CESI仿宋-GB2312" w:eastAsia="仿宋_GB2312" w:cs="CESI仿宋-GB2312"/>
          <w:color w:val="000000"/>
          <w:sz w:val="32"/>
          <w:szCs w:val="32"/>
          <w:shd w:val="clear" w:color="auto" w:fill="FFFFFF"/>
        </w:rPr>
      </w:pPr>
      <w:r>
        <w:rPr>
          <w:rFonts w:hint="eastAsia" w:ascii="黑体" w:hAnsi="黑体" w:eastAsia="黑体" w:cs="黑体"/>
          <w:color w:val="000000"/>
          <w:sz w:val="32"/>
          <w:szCs w:val="32"/>
          <w:shd w:val="clear" w:color="auto" w:fill="FFFFFF"/>
        </w:rPr>
        <w:t xml:space="preserve">第五条  </w:t>
      </w:r>
      <w:r>
        <w:rPr>
          <w:rFonts w:hint="eastAsia" w:ascii="仿宋_GB2312" w:hAnsi="CESI仿宋-GB2312" w:eastAsia="仿宋_GB2312" w:cs="CESI仿宋-GB2312"/>
          <w:color w:val="000000"/>
          <w:sz w:val="32"/>
          <w:szCs w:val="32"/>
        </w:rPr>
        <w:t>市、县级人民政府应当将海绵城市建设管理工作纳入本级国民经济和社会发展规划，制定激励和支持政策，建立综合协调机制和</w:t>
      </w:r>
      <w:r>
        <w:rPr>
          <w:rFonts w:hint="eastAsia" w:ascii="仿宋_GB2312" w:hAnsi="CESI仿宋-GB2312" w:eastAsia="仿宋_GB2312" w:cs="CESI仿宋-GB2312"/>
          <w:color w:val="000000"/>
          <w:sz w:val="32"/>
          <w:szCs w:val="32"/>
          <w:shd w:val="clear" w:color="auto" w:fill="FFFFFF"/>
        </w:rPr>
        <w:t>多元化投融资机制</w:t>
      </w:r>
      <w:r>
        <w:rPr>
          <w:rFonts w:hint="eastAsia" w:ascii="仿宋_GB2312" w:hAnsi="CESI仿宋-GB2312" w:eastAsia="仿宋_GB2312" w:cs="CESI仿宋-GB2312"/>
          <w:color w:val="000000"/>
          <w:sz w:val="32"/>
          <w:szCs w:val="32"/>
        </w:rPr>
        <w:t>，协调解决重大问题，统筹安排建设资金，</w:t>
      </w:r>
      <w:r>
        <w:rPr>
          <w:rFonts w:hint="eastAsia" w:ascii="仿宋_GB2312" w:hAnsi="CESI仿宋-GB2312" w:eastAsia="仿宋_GB2312" w:cs="CESI仿宋-GB2312"/>
          <w:color w:val="000000"/>
          <w:sz w:val="32"/>
          <w:szCs w:val="32"/>
          <w:shd w:val="clear" w:color="auto" w:fill="FFFFFF"/>
        </w:rPr>
        <w:t>引导、鼓励社会资本参与海绵城市建设和运营管理。</w:t>
      </w:r>
    </w:p>
    <w:p>
      <w:pPr>
        <w:pStyle w:val="12"/>
        <w:shd w:val="clear" w:color="auto" w:fill="FFFFFF"/>
        <w:spacing w:before="0" w:beforeAutospacing="0" w:after="0" w:afterAutospacing="0" w:line="520" w:lineRule="exact"/>
        <w:ind w:firstLine="640" w:firstLineChars="200"/>
        <w:rPr>
          <w:rFonts w:ascii="仿宋_GB2312" w:hAnsi="CESI仿宋-GB2312" w:eastAsia="仿宋_GB2312" w:cs="CESI仿宋-GB2312"/>
          <w:color w:val="000000"/>
          <w:sz w:val="32"/>
          <w:szCs w:val="32"/>
          <w:shd w:val="clear" w:color="auto" w:fill="FFFFFF"/>
        </w:rPr>
      </w:pPr>
      <w:r>
        <w:rPr>
          <w:rFonts w:hint="eastAsia" w:ascii="仿宋_GB2312" w:hAnsi="CESI仿宋-GB2312" w:eastAsia="仿宋_GB2312" w:cs="CESI仿宋-GB2312"/>
          <w:color w:val="000000"/>
          <w:sz w:val="32"/>
          <w:szCs w:val="32"/>
          <w:shd w:val="clear" w:color="auto" w:fill="FFFFFF"/>
        </w:rPr>
        <w:t>井冈山经济技术开发区管委会、庐陵新区管委会应当按照吉安市人民政府的规定负责本辖区的海绵城市建设管理工作。</w:t>
      </w:r>
    </w:p>
    <w:p>
      <w:pPr>
        <w:pStyle w:val="12"/>
        <w:shd w:val="clear" w:color="auto" w:fill="FFFFFF"/>
        <w:spacing w:before="0" w:beforeAutospacing="0" w:after="0" w:afterAutospacing="0" w:line="520" w:lineRule="exact"/>
        <w:ind w:firstLine="640" w:firstLineChars="200"/>
        <w:rPr>
          <w:rFonts w:ascii="仿宋_GB2312" w:hAnsi="CESI仿宋-GB2312" w:eastAsia="仿宋_GB2312" w:cs="CESI仿宋-GB2312"/>
          <w:color w:val="000000"/>
          <w:sz w:val="32"/>
          <w:szCs w:val="32"/>
          <w:shd w:val="clear" w:color="auto" w:fill="FFFFFF"/>
        </w:rPr>
      </w:pPr>
      <w:r>
        <w:rPr>
          <w:rFonts w:hint="eastAsia" w:ascii="仿宋_GB2312" w:hAnsi="CESI仿宋-GB2312" w:eastAsia="仿宋_GB2312" w:cs="CESI仿宋-GB2312"/>
          <w:color w:val="000000"/>
          <w:sz w:val="32"/>
          <w:szCs w:val="32"/>
          <w:shd w:val="clear" w:color="auto" w:fill="FFFFFF"/>
        </w:rPr>
        <w:t>镇（乡）人民政府、街道办事处应当协助做好本辖区的海绵城市建设管理工作。</w:t>
      </w:r>
    </w:p>
    <w:p>
      <w:pPr>
        <w:pStyle w:val="12"/>
        <w:shd w:val="clear" w:color="auto" w:fill="FFFFFF"/>
        <w:spacing w:before="0" w:beforeAutospacing="0" w:after="0" w:afterAutospacing="0" w:line="520" w:lineRule="exact"/>
        <w:ind w:firstLine="640" w:firstLineChars="200"/>
        <w:rPr>
          <w:rFonts w:ascii="仿宋_GB2312" w:hAnsi="仿宋_GB2312" w:eastAsia="仿宋_GB2312" w:cs="仿宋_GB2312"/>
          <w:color w:val="000000"/>
          <w:sz w:val="32"/>
          <w:szCs w:val="32"/>
          <w:shd w:val="clear" w:color="auto" w:fill="FFFFFF"/>
        </w:rPr>
      </w:pPr>
      <w:r>
        <w:rPr>
          <w:rFonts w:hint="eastAsia" w:ascii="黑体" w:hAnsi="黑体" w:eastAsia="黑体" w:cs="黑体"/>
          <w:color w:val="000000"/>
          <w:sz w:val="32"/>
          <w:szCs w:val="32"/>
          <w:shd w:val="clear" w:color="auto" w:fill="FFFFFF"/>
        </w:rPr>
        <w:t xml:space="preserve">第六条  </w:t>
      </w:r>
      <w:r>
        <w:rPr>
          <w:rFonts w:hint="eastAsia" w:ascii="仿宋_GB2312" w:hAnsi="仿宋_GB2312" w:eastAsia="仿宋_GB2312" w:cs="仿宋_GB2312"/>
          <w:color w:val="000000"/>
          <w:sz w:val="32"/>
          <w:szCs w:val="32"/>
          <w:shd w:val="clear" w:color="auto" w:fill="FFFFFF"/>
        </w:rPr>
        <w:t>住房和城乡建设主管部门负责海绵城市建设管理的统筹协调、技术指导、督促推进等工作，会同有关部门制定海绵城市建设技术规范和配套文件。</w:t>
      </w:r>
    </w:p>
    <w:p>
      <w:pPr>
        <w:pStyle w:val="12"/>
        <w:shd w:val="clear" w:color="auto" w:fill="FFFFFF"/>
        <w:spacing w:before="0" w:beforeAutospacing="0" w:after="0" w:afterAutospacing="0" w:line="520" w:lineRule="exact"/>
        <w:ind w:firstLine="640" w:firstLineChars="200"/>
        <w:rPr>
          <w:rFonts w:ascii="仿宋_GB2312" w:hAnsi="仿宋_GB2312" w:eastAsia="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自然资源主管部门负责做好海绵城市规划管理中的控制性详细规划编制、规划条件制定、土地出让、规划建筑设计方案审定、建设工程规划许可等工作。</w:t>
      </w:r>
    </w:p>
    <w:p>
      <w:pPr>
        <w:pStyle w:val="12"/>
        <w:shd w:val="clear" w:color="auto" w:fill="FFFFFF"/>
        <w:spacing w:before="0" w:beforeAutospacing="0" w:after="0" w:afterAutospacing="0" w:line="520" w:lineRule="exact"/>
        <w:ind w:firstLine="640" w:firstLineChars="200"/>
        <w:rPr>
          <w:rFonts w:ascii="仿宋_GB2312" w:hAnsi="仿宋_GB2312" w:eastAsia="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发展改革部门负责做好海绵城市建设中的工程立项、可行性研究评估、初步设计审查等工作。</w:t>
      </w:r>
    </w:p>
    <w:p>
      <w:pPr>
        <w:pStyle w:val="12"/>
        <w:shd w:val="clear" w:color="auto" w:fill="FFFFFF"/>
        <w:spacing w:before="0" w:beforeAutospacing="0" w:after="0" w:afterAutospacing="0" w:line="520" w:lineRule="exact"/>
        <w:ind w:firstLine="640" w:firstLineChars="200"/>
        <w:rPr>
          <w:rFonts w:ascii="仿宋_GB2312" w:hAnsi="仿宋_GB2312" w:eastAsia="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水行政主管部门负责做好海绵城市建设中水利工程的指导和监督工作，协同做好城市蓝线管理工作。</w:t>
      </w:r>
    </w:p>
    <w:p>
      <w:pPr>
        <w:pStyle w:val="12"/>
        <w:shd w:val="clear" w:color="auto" w:fill="FFFFFF"/>
        <w:spacing w:before="0" w:beforeAutospacing="0" w:after="0" w:afterAutospacing="0" w:line="520" w:lineRule="exact"/>
        <w:ind w:firstLine="640" w:firstLineChars="200"/>
        <w:rPr>
          <w:rFonts w:ascii="仿宋_GB2312" w:hAnsi="仿宋_GB2312" w:eastAsia="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财政、城市管理、生态环境、林业、交通运输、市场监督管理、公安、气象等部门在各自职责范围内做好海绵城市建设管理相关工作。</w:t>
      </w:r>
    </w:p>
    <w:p>
      <w:pPr>
        <w:pStyle w:val="12"/>
        <w:shd w:val="clear" w:color="auto" w:fill="FFFFFF"/>
        <w:spacing w:before="0" w:beforeAutospacing="0" w:after="0" w:afterAutospacing="0" w:line="520" w:lineRule="exact"/>
        <w:ind w:firstLine="640" w:firstLineChars="200"/>
        <w:rPr>
          <w:rFonts w:ascii="仿宋_GB2312" w:hAnsi="仿宋_GB2312" w:eastAsia="仿宋_GB2312" w:cs="仿宋_GB2312"/>
          <w:b/>
          <w:bCs/>
          <w:color w:val="000000"/>
          <w:spacing w:val="-6"/>
          <w:sz w:val="32"/>
          <w:szCs w:val="32"/>
          <w:highlight w:val="red"/>
          <w:shd w:val="clear" w:color="auto" w:fill="FFFFFF"/>
        </w:rPr>
      </w:pPr>
      <w:r>
        <w:rPr>
          <w:rFonts w:hint="eastAsia" w:ascii="黑体" w:hAnsi="黑体" w:eastAsia="黑体" w:cs="黑体"/>
          <w:color w:val="000000"/>
          <w:sz w:val="32"/>
          <w:szCs w:val="32"/>
          <w:shd w:val="clear" w:color="auto" w:fill="FFFFFF"/>
        </w:rPr>
        <w:t xml:space="preserve">第七条  </w:t>
      </w:r>
      <w:r>
        <w:rPr>
          <w:rFonts w:eastAsia="仿宋_GB2312"/>
          <w:color w:val="000000"/>
          <w:sz w:val="32"/>
          <w:szCs w:val="32"/>
          <w:shd w:val="clear" w:color="auto" w:fill="FFFFFF"/>
        </w:rPr>
        <w:t>市</w:t>
      </w:r>
      <w:r>
        <w:rPr>
          <w:rFonts w:hint="eastAsia" w:eastAsia="仿宋_GB2312"/>
          <w:color w:val="000000"/>
          <w:sz w:val="32"/>
          <w:szCs w:val="32"/>
          <w:shd w:val="clear" w:color="auto" w:fill="FFFFFF"/>
        </w:rPr>
        <w:t>人民政府</w:t>
      </w:r>
      <w:r>
        <w:rPr>
          <w:rFonts w:eastAsia="仿宋_GB2312"/>
          <w:color w:val="000000"/>
          <w:sz w:val="32"/>
          <w:szCs w:val="32"/>
          <w:shd w:val="clear" w:color="auto" w:fill="FFFFFF"/>
        </w:rPr>
        <w:t>应当建立海绵城市建设专家库，组织专家</w:t>
      </w:r>
      <w:r>
        <w:rPr>
          <w:rFonts w:hint="eastAsia" w:eastAsia="仿宋_GB2312"/>
          <w:color w:val="000000"/>
          <w:sz w:val="32"/>
          <w:szCs w:val="32"/>
          <w:shd w:val="clear" w:color="auto" w:fill="FFFFFF"/>
        </w:rPr>
        <w:t>对</w:t>
      </w:r>
      <w:r>
        <w:rPr>
          <w:rFonts w:eastAsia="仿宋_GB2312"/>
          <w:color w:val="000000"/>
          <w:sz w:val="32"/>
          <w:szCs w:val="32"/>
          <w:shd w:val="clear" w:color="auto" w:fill="FFFFFF"/>
        </w:rPr>
        <w:t>海绵城市</w:t>
      </w:r>
      <w:r>
        <w:rPr>
          <w:rFonts w:hint="eastAsia" w:eastAsia="仿宋_GB2312"/>
          <w:color w:val="000000"/>
          <w:sz w:val="32"/>
          <w:szCs w:val="32"/>
          <w:shd w:val="clear" w:color="auto" w:fill="FFFFFF"/>
        </w:rPr>
        <w:t>建设管理的重大事项实施论证、提供技术支撑和咨询意见。县级人民政府</w:t>
      </w:r>
      <w:r>
        <w:rPr>
          <w:rFonts w:eastAsia="仿宋_GB2312"/>
          <w:color w:val="000000"/>
          <w:sz w:val="32"/>
          <w:szCs w:val="32"/>
          <w:shd w:val="clear" w:color="auto" w:fill="FFFFFF"/>
        </w:rPr>
        <w:t>可以根据需要建立本辖区海绵城市建设专家库。</w:t>
      </w:r>
    </w:p>
    <w:p>
      <w:pPr>
        <w:pStyle w:val="12"/>
        <w:shd w:val="clear" w:color="auto" w:fill="FFFFFF"/>
        <w:spacing w:before="0" w:beforeAutospacing="0" w:after="0" w:afterAutospacing="0" w:line="520" w:lineRule="exact"/>
        <w:ind w:firstLine="640" w:firstLineChars="200"/>
        <w:rPr>
          <w:rFonts w:ascii="仿宋_GB2312" w:hAnsi="仿宋_GB2312" w:eastAsia="仿宋_GB2312"/>
          <w:color w:val="000000"/>
          <w:sz w:val="32"/>
          <w:szCs w:val="32"/>
          <w:shd w:val="clear" w:color="auto" w:fill="FFFFFF"/>
        </w:rPr>
      </w:pPr>
      <w:r>
        <w:rPr>
          <w:rFonts w:hint="eastAsia" w:ascii="黑体" w:hAnsi="黑体" w:eastAsia="黑体" w:cs="黑体"/>
          <w:color w:val="000000"/>
          <w:sz w:val="32"/>
          <w:szCs w:val="32"/>
          <w:shd w:val="clear" w:color="auto" w:fill="FFFFFF"/>
        </w:rPr>
        <w:t xml:space="preserve">第八条  </w:t>
      </w:r>
      <w:r>
        <w:rPr>
          <w:rFonts w:hint="eastAsia" w:ascii="仿宋_GB2312" w:hAnsi="仿宋_GB2312" w:eastAsia="仿宋_GB2312" w:cs="仿宋_GB2312"/>
          <w:color w:val="000000"/>
          <w:sz w:val="32"/>
          <w:szCs w:val="32"/>
          <w:shd w:val="clear" w:color="auto" w:fill="FFFFFF"/>
        </w:rPr>
        <w:t>市、县级人民政府及有关部门应当通过报刊、广播、电视、网络等新闻媒体，开展海绵城市建设公益宣传和科普教育，引导全社会积极参与海绵城市建设管理。</w:t>
      </w:r>
    </w:p>
    <w:p>
      <w:pPr>
        <w:pStyle w:val="12"/>
        <w:shd w:val="clear" w:color="auto" w:fill="FFFFFF"/>
        <w:spacing w:before="0" w:beforeAutospacing="0" w:after="0" w:afterAutospacing="0" w:line="520" w:lineRule="exac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任何单位和个人有权举报违反海绵城市建设管理规定的行为。接受举报的</w:t>
      </w:r>
      <w:r>
        <w:rPr>
          <w:rFonts w:eastAsia="仿宋_GB2312"/>
          <w:color w:val="000000"/>
          <w:sz w:val="32"/>
          <w:szCs w:val="32"/>
          <w:shd w:val="clear" w:color="auto" w:fill="FFFFFF"/>
        </w:rPr>
        <w:t>住房和城乡建设</w:t>
      </w:r>
      <w:r>
        <w:rPr>
          <w:rFonts w:hint="eastAsia" w:eastAsia="仿宋_GB2312"/>
          <w:color w:val="000000"/>
          <w:sz w:val="32"/>
          <w:szCs w:val="32"/>
          <w:shd w:val="clear" w:color="auto" w:fill="FFFFFF"/>
        </w:rPr>
        <w:t>、</w:t>
      </w:r>
      <w:r>
        <w:rPr>
          <w:rFonts w:hint="eastAsia" w:ascii="仿宋_GB2312" w:hAnsi="仿宋_GB2312" w:eastAsia="仿宋_GB2312" w:cs="仿宋_GB2312"/>
          <w:color w:val="000000"/>
          <w:sz w:val="32"/>
          <w:szCs w:val="32"/>
          <w:shd w:val="clear" w:color="auto" w:fill="FFFFFF"/>
        </w:rPr>
        <w:t>城市管理等有关部门应当及时调查处理，并将结果告知举报人。</w:t>
      </w:r>
    </w:p>
    <w:p>
      <w:pPr>
        <w:pStyle w:val="12"/>
        <w:shd w:val="clear" w:color="auto" w:fill="FFFFFF"/>
        <w:spacing w:before="0" w:beforeAutospacing="0" w:after="0" w:afterAutospacing="0" w:line="520" w:lineRule="exact"/>
        <w:ind w:firstLine="640" w:firstLineChars="200"/>
        <w:rPr>
          <w:rFonts w:ascii="仿宋_GB2312" w:hAnsi="仿宋_GB2312" w:eastAsia="仿宋_GB2312" w:cs="仿宋_GB2312"/>
          <w:color w:val="000000"/>
          <w:sz w:val="32"/>
          <w:szCs w:val="32"/>
          <w:shd w:val="clear" w:color="auto" w:fill="FFFFFF"/>
        </w:rPr>
      </w:pPr>
    </w:p>
    <w:p>
      <w:pPr>
        <w:pStyle w:val="12"/>
        <w:shd w:val="clear" w:color="auto" w:fill="FFFFFF"/>
        <w:spacing w:before="0" w:beforeAutospacing="0" w:after="0" w:afterAutospacing="0" w:line="520" w:lineRule="exact"/>
        <w:jc w:val="center"/>
        <w:rPr>
          <w:rFonts w:ascii="黑体" w:hAnsi="黑体" w:eastAsia="黑体" w:cs="黑体"/>
          <w:color w:val="000000"/>
          <w:sz w:val="32"/>
          <w:szCs w:val="32"/>
          <w:shd w:val="clear" w:color="auto" w:fill="FFFFFF"/>
        </w:rPr>
      </w:pPr>
      <w:r>
        <w:rPr>
          <w:rFonts w:hint="eastAsia" w:ascii="黑体" w:hAnsi="黑体" w:eastAsia="黑体" w:cs="黑体"/>
          <w:color w:val="000000"/>
          <w:sz w:val="32"/>
          <w:szCs w:val="32"/>
          <w:shd w:val="clear" w:color="auto" w:fill="FFFFFF"/>
        </w:rPr>
        <w:t>第二章  规划与建设</w:t>
      </w:r>
    </w:p>
    <w:p>
      <w:pPr>
        <w:pStyle w:val="12"/>
        <w:shd w:val="clear" w:color="auto" w:fill="FFFFFF"/>
        <w:spacing w:before="0" w:beforeAutospacing="0" w:after="0" w:afterAutospacing="0" w:line="520" w:lineRule="exact"/>
        <w:jc w:val="center"/>
        <w:rPr>
          <w:rFonts w:ascii="黑体" w:hAnsi="黑体" w:eastAsia="黑体" w:cs="黑体"/>
          <w:color w:val="000000"/>
          <w:sz w:val="32"/>
          <w:szCs w:val="32"/>
          <w:shd w:val="clear" w:color="auto" w:fill="FFFFFF"/>
        </w:rPr>
      </w:pPr>
    </w:p>
    <w:p>
      <w:pPr>
        <w:pStyle w:val="12"/>
        <w:shd w:val="clear" w:color="auto" w:fill="FFFFFF"/>
        <w:spacing w:before="0" w:beforeAutospacing="0" w:after="0" w:afterAutospacing="0" w:line="520" w:lineRule="exact"/>
        <w:ind w:firstLine="640" w:firstLineChars="200"/>
        <w:rPr>
          <w:rFonts w:ascii="仿宋_GB2312" w:hAnsi="仿宋_GB2312" w:eastAsia="仿宋_GB2312" w:cs="仿宋_GB2312"/>
          <w:color w:val="000000"/>
          <w:sz w:val="32"/>
          <w:szCs w:val="32"/>
          <w:shd w:val="clear" w:color="auto" w:fill="FFFFFF"/>
        </w:rPr>
      </w:pPr>
      <w:r>
        <w:rPr>
          <w:rFonts w:hint="eastAsia" w:ascii="黑体" w:hAnsi="黑体" w:eastAsia="黑体" w:cs="黑体"/>
          <w:color w:val="000000"/>
          <w:sz w:val="32"/>
          <w:szCs w:val="32"/>
          <w:shd w:val="clear" w:color="auto" w:fill="FFFFFF"/>
        </w:rPr>
        <w:t xml:space="preserve">第九条  </w:t>
      </w:r>
      <w:r>
        <w:rPr>
          <w:rFonts w:hint="eastAsia" w:ascii="仿宋_GB2312" w:hAnsi="仿宋_GB2312" w:eastAsia="仿宋_GB2312" w:cs="仿宋_GB2312"/>
          <w:color w:val="000000"/>
          <w:sz w:val="32"/>
          <w:szCs w:val="32"/>
          <w:shd w:val="clear" w:color="auto" w:fill="FFFFFF"/>
        </w:rPr>
        <w:t>海绵城市规划与建设应当保护自然地形地貌和天然水系，减少城市开发建设行为对原有自然水文特征和生态环境造成的破坏，保护自然生态空间格局，改善城市品质与居住环境。</w:t>
      </w:r>
    </w:p>
    <w:p>
      <w:pPr>
        <w:shd w:val="clear" w:color="auto" w:fill="FFFFFF"/>
        <w:overflowPunct w:val="0"/>
        <w:snapToGrid w:val="0"/>
        <w:spacing w:line="520" w:lineRule="exact"/>
        <w:ind w:firstLine="640" w:firstLineChars="200"/>
        <w:rPr>
          <w:rFonts w:eastAsia="仿宋_GB2312"/>
          <w:color w:val="000000"/>
          <w:kern w:val="0"/>
          <w:sz w:val="32"/>
          <w:szCs w:val="32"/>
          <w:shd w:val="clear" w:color="auto" w:fill="FFFFFF"/>
        </w:rPr>
      </w:pPr>
      <w:r>
        <w:rPr>
          <w:rFonts w:ascii="仿宋_GB2312" w:hAnsi="仿宋_GB2312" w:eastAsia="仿宋_GB2312" w:cs="仿宋_GB2312"/>
          <w:color w:val="000000"/>
          <w:kern w:val="0"/>
          <w:sz w:val="32"/>
          <w:szCs w:val="32"/>
          <w:shd w:val="clear" w:color="auto" w:fill="FFFFFF"/>
        </w:rPr>
        <w:t>新建区域</w:t>
      </w:r>
      <w:r>
        <w:rPr>
          <w:rFonts w:ascii="仿宋_GB2312" w:hAnsi="仿宋_GB2312" w:eastAsia="仿宋_GB2312" w:cs="仿宋_GB2312"/>
          <w:color w:val="000000"/>
          <w:spacing w:val="-6"/>
          <w:kern w:val="0"/>
          <w:sz w:val="32"/>
          <w:szCs w:val="32"/>
          <w:shd w:val="clear" w:color="auto" w:fill="FFFFFF"/>
        </w:rPr>
        <w:t>的海绵城市建设</w:t>
      </w:r>
      <w:r>
        <w:rPr>
          <w:rFonts w:hint="eastAsia" w:ascii="仿宋_GB2312" w:hAnsi="仿宋_GB2312" w:eastAsia="仿宋_GB2312" w:cs="仿宋_GB2312"/>
          <w:color w:val="000000"/>
          <w:spacing w:val="-6"/>
          <w:kern w:val="0"/>
          <w:sz w:val="32"/>
          <w:szCs w:val="32"/>
          <w:shd w:val="clear" w:color="auto" w:fill="FFFFFF"/>
        </w:rPr>
        <w:t>，</w:t>
      </w:r>
      <w:r>
        <w:rPr>
          <w:rFonts w:ascii="仿宋_GB2312" w:hAnsi="仿宋_GB2312" w:eastAsia="仿宋_GB2312" w:cs="仿宋_GB2312"/>
          <w:color w:val="000000"/>
          <w:kern w:val="0"/>
          <w:sz w:val="32"/>
          <w:szCs w:val="32"/>
          <w:shd w:val="clear" w:color="auto" w:fill="FFFFFF"/>
        </w:rPr>
        <w:t>应当</w:t>
      </w:r>
      <w:r>
        <w:rPr>
          <w:rFonts w:hint="eastAsia" w:eastAsia="仿宋_GB2312"/>
          <w:color w:val="000000"/>
          <w:kern w:val="0"/>
          <w:sz w:val="32"/>
          <w:szCs w:val="32"/>
          <w:shd w:val="clear" w:color="auto" w:fill="FFFFFF"/>
        </w:rPr>
        <w:t>执行</w:t>
      </w:r>
      <w:r>
        <w:rPr>
          <w:rFonts w:eastAsia="仿宋_GB2312"/>
          <w:color w:val="000000"/>
          <w:kern w:val="0"/>
          <w:sz w:val="32"/>
          <w:szCs w:val="32"/>
          <w:shd w:val="clear" w:color="auto" w:fill="FFFFFF"/>
        </w:rPr>
        <w:t>海绵城市建设</w:t>
      </w:r>
      <w:r>
        <w:rPr>
          <w:rFonts w:hint="eastAsia" w:eastAsia="仿宋_GB2312"/>
          <w:color w:val="000000"/>
          <w:kern w:val="0"/>
          <w:sz w:val="32"/>
          <w:szCs w:val="32"/>
          <w:shd w:val="clear" w:color="auto" w:fill="FFFFFF"/>
        </w:rPr>
        <w:t>相关</w:t>
      </w:r>
      <w:r>
        <w:rPr>
          <w:rFonts w:eastAsia="仿宋_GB2312"/>
          <w:color w:val="000000"/>
          <w:kern w:val="0"/>
          <w:sz w:val="32"/>
          <w:szCs w:val="32"/>
          <w:shd w:val="clear" w:color="auto" w:fill="FFFFFF"/>
        </w:rPr>
        <w:t>规划</w:t>
      </w:r>
      <w:r>
        <w:rPr>
          <w:rFonts w:hint="eastAsia" w:eastAsia="仿宋_GB2312"/>
          <w:color w:val="000000"/>
          <w:kern w:val="0"/>
          <w:sz w:val="32"/>
          <w:szCs w:val="32"/>
          <w:shd w:val="clear" w:color="auto" w:fill="FFFFFF"/>
        </w:rPr>
        <w:t>、技术指标</w:t>
      </w:r>
      <w:r>
        <w:rPr>
          <w:rFonts w:eastAsia="仿宋_GB2312"/>
          <w:color w:val="000000"/>
          <w:kern w:val="0"/>
          <w:sz w:val="32"/>
          <w:szCs w:val="32"/>
          <w:shd w:val="clear" w:color="auto" w:fill="FFFFFF"/>
        </w:rPr>
        <w:t>和建设要求</w:t>
      </w:r>
      <w:r>
        <w:rPr>
          <w:rFonts w:hint="eastAsia" w:eastAsia="仿宋_GB2312"/>
          <w:color w:val="000000"/>
          <w:kern w:val="0"/>
          <w:sz w:val="32"/>
          <w:szCs w:val="32"/>
          <w:shd w:val="clear" w:color="auto" w:fill="FFFFFF"/>
        </w:rPr>
        <w:t>，</w:t>
      </w:r>
      <w:r>
        <w:rPr>
          <w:rFonts w:ascii="仿宋_GB2312" w:hAnsi="仿宋_GB2312" w:eastAsia="仿宋_GB2312" w:cs="仿宋_GB2312"/>
          <w:color w:val="000000"/>
          <w:kern w:val="0"/>
          <w:sz w:val="32"/>
          <w:szCs w:val="32"/>
          <w:shd w:val="clear" w:color="auto" w:fill="FFFFFF"/>
        </w:rPr>
        <w:t>科学配套建设海绵城市设施</w:t>
      </w:r>
      <w:r>
        <w:rPr>
          <w:rFonts w:hint="eastAsia" w:ascii="仿宋_GB2312" w:hAnsi="仿宋_GB2312" w:eastAsia="仿宋_GB2312" w:cs="仿宋_GB2312"/>
          <w:color w:val="000000"/>
          <w:kern w:val="0"/>
          <w:sz w:val="32"/>
          <w:szCs w:val="32"/>
          <w:shd w:val="clear" w:color="auto" w:fill="FFFFFF"/>
        </w:rPr>
        <w:t>；</w:t>
      </w:r>
      <w:r>
        <w:rPr>
          <w:rFonts w:ascii="仿宋_GB2312" w:hAnsi="仿宋_GB2312" w:eastAsia="仿宋_GB2312" w:cs="仿宋_GB2312"/>
          <w:color w:val="000000"/>
          <w:spacing w:val="-6"/>
          <w:kern w:val="0"/>
          <w:sz w:val="32"/>
          <w:szCs w:val="32"/>
          <w:shd w:val="clear" w:color="auto" w:fill="FFFFFF"/>
        </w:rPr>
        <w:t>已建区域的海绵城市建设，应当结合城市更新、老旧小区改造、内涝防治等工程建设，统一规划、分步实施，解决城市内涝、雨污混流、</w:t>
      </w:r>
      <w:r>
        <w:rPr>
          <w:rFonts w:hint="eastAsia" w:ascii="仿宋_GB2312" w:hAnsi="仿宋_GB2312" w:eastAsia="仿宋_GB2312" w:cs="仿宋_GB2312"/>
          <w:color w:val="000000"/>
          <w:spacing w:val="-6"/>
          <w:kern w:val="0"/>
          <w:sz w:val="32"/>
          <w:szCs w:val="32"/>
          <w:shd w:val="clear" w:color="auto" w:fill="FFFFFF"/>
        </w:rPr>
        <w:t>雨水资源利用率低</w:t>
      </w:r>
      <w:r>
        <w:rPr>
          <w:rFonts w:ascii="仿宋_GB2312" w:hAnsi="仿宋_GB2312" w:eastAsia="仿宋_GB2312" w:cs="仿宋_GB2312"/>
          <w:color w:val="000000"/>
          <w:spacing w:val="-6"/>
          <w:kern w:val="0"/>
          <w:sz w:val="32"/>
          <w:szCs w:val="32"/>
          <w:shd w:val="clear" w:color="auto" w:fill="FFFFFF"/>
        </w:rPr>
        <w:t>等问题。</w:t>
      </w:r>
    </w:p>
    <w:p>
      <w:pPr>
        <w:shd w:val="clear" w:color="auto" w:fill="FFFFFF"/>
        <w:overflowPunct w:val="0"/>
        <w:snapToGrid w:val="0"/>
        <w:spacing w:line="520" w:lineRule="exact"/>
        <w:ind w:firstLine="640" w:firstLineChars="200"/>
        <w:rPr>
          <w:rFonts w:eastAsia="仿宋_GB2312"/>
          <w:color w:val="000000"/>
          <w:kern w:val="0"/>
          <w:sz w:val="32"/>
          <w:szCs w:val="32"/>
          <w:shd w:val="clear" w:color="auto" w:fill="FFFFFF"/>
        </w:rPr>
      </w:pPr>
      <w:r>
        <w:rPr>
          <w:rFonts w:hint="eastAsia" w:ascii="黑体" w:hAnsi="黑体" w:eastAsia="黑体" w:cs="黑体"/>
          <w:color w:val="000000"/>
          <w:sz w:val="32"/>
          <w:szCs w:val="32"/>
          <w:shd w:val="clear" w:color="auto" w:fill="FFFFFF"/>
        </w:rPr>
        <w:t xml:space="preserve">第十条  </w:t>
      </w:r>
      <w:r>
        <w:rPr>
          <w:rFonts w:hint="eastAsia" w:ascii="仿宋_GB2312" w:hAnsi="仿宋_GB2312" w:eastAsia="仿宋_GB2312" w:cs="仿宋_GB2312"/>
          <w:color w:val="000000"/>
          <w:sz w:val="32"/>
          <w:szCs w:val="32"/>
          <w:shd w:val="clear" w:color="auto" w:fill="FFFFFF"/>
        </w:rPr>
        <w:t>市、县级人民政府组织编制国土空间总体规划，应当</w:t>
      </w:r>
      <w:r>
        <w:rPr>
          <w:rFonts w:eastAsia="仿宋_GB2312"/>
          <w:color w:val="000000"/>
          <w:kern w:val="0"/>
          <w:sz w:val="32"/>
          <w:szCs w:val="32"/>
          <w:shd w:val="clear" w:color="auto" w:fill="FFFFFF"/>
        </w:rPr>
        <w:t>明确海绵城市建设规划目标和建设要求。</w:t>
      </w:r>
    </w:p>
    <w:p>
      <w:pPr>
        <w:shd w:val="clear" w:color="auto" w:fill="FFFFFF"/>
        <w:overflowPunct w:val="0"/>
        <w:snapToGrid w:val="0"/>
        <w:spacing w:line="520" w:lineRule="exact"/>
        <w:ind w:firstLine="640" w:firstLineChars="200"/>
        <w:rPr>
          <w:rFonts w:ascii="宋体" w:hAnsi="宋体" w:cs="宋体"/>
          <w:color w:val="000000"/>
          <w:sz w:val="27"/>
          <w:szCs w:val="27"/>
          <w:highlight w:val="red"/>
        </w:rPr>
      </w:pPr>
      <w:r>
        <w:rPr>
          <w:rFonts w:hint="eastAsia" w:ascii="仿宋_GB2312" w:hAnsi="仿宋_GB2312" w:eastAsia="仿宋_GB2312" w:cs="仿宋_GB2312"/>
          <w:color w:val="000000"/>
          <w:sz w:val="32"/>
          <w:szCs w:val="32"/>
          <w:shd w:val="clear" w:color="auto" w:fill="FFFFFF"/>
        </w:rPr>
        <w:t>自然资源主管部门</w:t>
      </w:r>
      <w:r>
        <w:rPr>
          <w:rFonts w:eastAsia="仿宋_GB2312"/>
          <w:color w:val="000000"/>
          <w:kern w:val="0"/>
          <w:sz w:val="32"/>
          <w:szCs w:val="32"/>
          <w:shd w:val="clear" w:color="auto" w:fill="FFFFFF"/>
        </w:rPr>
        <w:t>组织编制</w:t>
      </w:r>
      <w:r>
        <w:rPr>
          <w:rFonts w:hint="eastAsia" w:eastAsia="仿宋_GB2312"/>
          <w:color w:val="000000"/>
          <w:kern w:val="0"/>
          <w:sz w:val="32"/>
          <w:szCs w:val="32"/>
          <w:shd w:val="clear" w:color="auto" w:fill="FFFFFF"/>
        </w:rPr>
        <w:t>控制性详细规划</w:t>
      </w:r>
      <w:r>
        <w:rPr>
          <w:rFonts w:eastAsia="仿宋_GB2312"/>
          <w:color w:val="000000"/>
          <w:kern w:val="0"/>
          <w:sz w:val="32"/>
          <w:szCs w:val="32"/>
          <w:shd w:val="clear" w:color="auto" w:fill="FFFFFF"/>
        </w:rPr>
        <w:t>，应当符合国土空间总体规划，并明确海绵城市建设主要技术指标。</w:t>
      </w:r>
      <w:r>
        <w:fldChar w:fldCharType="begin"/>
      </w:r>
      <w:r>
        <w:instrText xml:space="preserve"> HYPERLINK "javascript:void(0);" </w:instrText>
      </w:r>
      <w:r>
        <w:fldChar w:fldCharType="separate"/>
      </w:r>
      <w:r>
        <w:fldChar w:fldCharType="end"/>
      </w:r>
    </w:p>
    <w:p>
      <w:pPr>
        <w:adjustRightInd w:val="0"/>
        <w:snapToGrid w:val="0"/>
        <w:spacing w:line="520" w:lineRule="exact"/>
        <w:ind w:firstLine="640" w:firstLineChars="200"/>
        <w:textAlignment w:val="baseline"/>
        <w:rPr>
          <w:rFonts w:eastAsia="仿宋_GB2312"/>
          <w:color w:val="000000"/>
          <w:kern w:val="0"/>
          <w:sz w:val="32"/>
          <w:szCs w:val="32"/>
          <w:shd w:val="clear" w:color="auto" w:fill="FFFFFF"/>
        </w:rPr>
      </w:pPr>
      <w:r>
        <w:rPr>
          <w:rFonts w:hint="eastAsia" w:ascii="黑体" w:hAnsi="黑体" w:eastAsia="黑体" w:cs="黑体"/>
          <w:color w:val="000000"/>
          <w:sz w:val="32"/>
          <w:szCs w:val="32"/>
          <w:shd w:val="clear" w:color="auto" w:fill="FFFFFF"/>
        </w:rPr>
        <w:t xml:space="preserve">第十一条  </w:t>
      </w:r>
      <w:r>
        <w:rPr>
          <w:rFonts w:eastAsia="仿宋_GB2312"/>
          <w:color w:val="000000"/>
          <w:kern w:val="0"/>
          <w:sz w:val="32"/>
          <w:szCs w:val="32"/>
          <w:shd w:val="clear" w:color="auto" w:fill="FFFFFF"/>
        </w:rPr>
        <w:t>住房和城乡建设</w:t>
      </w:r>
      <w:r>
        <w:rPr>
          <w:rFonts w:hint="eastAsia" w:eastAsia="仿宋_GB2312"/>
          <w:color w:val="000000"/>
          <w:kern w:val="0"/>
          <w:sz w:val="32"/>
          <w:szCs w:val="32"/>
          <w:shd w:val="clear" w:color="auto" w:fill="FFFFFF"/>
        </w:rPr>
        <w:t>主管</w:t>
      </w:r>
      <w:r>
        <w:rPr>
          <w:rFonts w:eastAsia="仿宋_GB2312"/>
          <w:color w:val="000000"/>
          <w:kern w:val="0"/>
          <w:sz w:val="32"/>
          <w:szCs w:val="32"/>
          <w:shd w:val="clear" w:color="auto" w:fill="FFFFFF"/>
        </w:rPr>
        <w:t>部门会同自然资源、城市管理、水利等部门编制海绵城市专项规划，应当符合国土空间总体规划，并与</w:t>
      </w:r>
      <w:r>
        <w:rPr>
          <w:rFonts w:hint="eastAsia" w:eastAsia="仿宋_GB2312"/>
          <w:color w:val="000000"/>
          <w:kern w:val="0"/>
          <w:sz w:val="32"/>
          <w:szCs w:val="32"/>
          <w:shd w:val="clear" w:color="auto" w:fill="FFFFFF"/>
        </w:rPr>
        <w:t>控制性详细规划</w:t>
      </w:r>
      <w:r>
        <w:rPr>
          <w:rFonts w:eastAsia="仿宋_GB2312"/>
          <w:color w:val="000000"/>
          <w:kern w:val="0"/>
          <w:sz w:val="32"/>
          <w:szCs w:val="32"/>
          <w:shd w:val="clear" w:color="auto" w:fill="FFFFFF"/>
        </w:rPr>
        <w:t>相衔接。</w:t>
      </w:r>
    </w:p>
    <w:p>
      <w:pPr>
        <w:shd w:val="clear" w:color="auto" w:fill="FFFFFF"/>
        <w:overflowPunct w:val="0"/>
        <w:snapToGrid w:val="0"/>
        <w:spacing w:line="520" w:lineRule="exact"/>
        <w:ind w:firstLine="640" w:firstLineChars="200"/>
        <w:rPr>
          <w:rFonts w:eastAsia="仿宋_GB2312"/>
          <w:color w:val="000000"/>
          <w:kern w:val="0"/>
          <w:sz w:val="32"/>
          <w:szCs w:val="32"/>
          <w:shd w:val="clear" w:color="auto" w:fill="FFFFFF"/>
        </w:rPr>
      </w:pPr>
      <w:r>
        <w:rPr>
          <w:rFonts w:hint="eastAsia" w:ascii="仿宋_GB2312" w:hAnsi="仿宋_GB2312" w:eastAsia="仿宋_GB2312" w:cs="仿宋_GB2312"/>
          <w:color w:val="000000"/>
          <w:sz w:val="32"/>
          <w:szCs w:val="32"/>
          <w:shd w:val="clear" w:color="auto" w:fill="FFFFFF"/>
        </w:rPr>
        <w:t>排水防涝、城市蓝线、河湖岸线、绿地系统、湿地保护、水资源、道路等专项规划编制</w:t>
      </w:r>
      <w:r>
        <w:rPr>
          <w:rFonts w:eastAsia="仿宋_GB2312"/>
          <w:color w:val="000000"/>
          <w:kern w:val="0"/>
          <w:sz w:val="32"/>
          <w:szCs w:val="32"/>
          <w:shd w:val="clear" w:color="auto" w:fill="FFFFFF"/>
        </w:rPr>
        <w:t>应当与海绵城市专项规划相协同。</w:t>
      </w:r>
    </w:p>
    <w:p>
      <w:pPr>
        <w:pStyle w:val="12"/>
        <w:shd w:val="clear" w:color="auto" w:fill="FFFFFF"/>
        <w:spacing w:before="0" w:beforeAutospacing="0" w:after="0" w:afterAutospacing="0" w:line="520" w:lineRule="exact"/>
        <w:ind w:firstLine="640" w:firstLineChars="200"/>
        <w:rPr>
          <w:rFonts w:ascii="仿宋_GB2312" w:hAnsi="仿宋_GB2312" w:eastAsia="仿宋_GB2312"/>
          <w:color w:val="000000"/>
          <w:sz w:val="32"/>
          <w:szCs w:val="32"/>
          <w:shd w:val="clear" w:color="auto" w:fill="FFFFFF"/>
        </w:rPr>
      </w:pPr>
      <w:r>
        <w:rPr>
          <w:rFonts w:eastAsia="仿宋_GB2312"/>
          <w:color w:val="000000"/>
          <w:sz w:val="32"/>
          <w:szCs w:val="32"/>
          <w:shd w:val="clear" w:color="auto" w:fill="FFFFFF"/>
        </w:rPr>
        <w:t>海绵城市专项规划报</w:t>
      </w:r>
      <w:r>
        <w:rPr>
          <w:rFonts w:hint="eastAsia" w:eastAsia="仿宋_GB2312"/>
          <w:color w:val="000000"/>
          <w:sz w:val="32"/>
          <w:szCs w:val="32"/>
          <w:shd w:val="clear" w:color="auto" w:fill="FFFFFF"/>
        </w:rPr>
        <w:t>同级</w:t>
      </w:r>
      <w:r>
        <w:rPr>
          <w:rFonts w:eastAsia="仿宋_GB2312"/>
          <w:color w:val="000000"/>
          <w:sz w:val="32"/>
          <w:szCs w:val="32"/>
          <w:shd w:val="clear" w:color="auto" w:fill="FFFFFF"/>
        </w:rPr>
        <w:t>人民政府批准后实施</w:t>
      </w:r>
      <w:r>
        <w:rPr>
          <w:rFonts w:hint="eastAsia" w:eastAsia="仿宋_GB2312"/>
          <w:color w:val="000000"/>
          <w:sz w:val="32"/>
          <w:szCs w:val="32"/>
          <w:shd w:val="clear" w:color="auto" w:fill="FFFFFF"/>
        </w:rPr>
        <w:t>，不得擅自调整；确需调整的，应当依照法定程序报批。</w:t>
      </w:r>
    </w:p>
    <w:p>
      <w:pPr>
        <w:pStyle w:val="12"/>
        <w:shd w:val="clear" w:color="auto" w:fill="FFFFFF"/>
        <w:spacing w:before="0" w:beforeAutospacing="0" w:after="0" w:afterAutospacing="0" w:line="520" w:lineRule="exact"/>
        <w:ind w:firstLine="640" w:firstLineChars="200"/>
        <w:rPr>
          <w:rFonts w:ascii="仿宋_GB2312" w:hAnsi="仿宋_GB2312" w:eastAsia="仿宋_GB2312" w:cs="仿宋_GB2312"/>
          <w:color w:val="000000"/>
          <w:sz w:val="32"/>
          <w:szCs w:val="32"/>
          <w:shd w:val="clear" w:color="auto" w:fill="FFFFFF"/>
        </w:rPr>
      </w:pPr>
      <w:r>
        <w:rPr>
          <w:rFonts w:hint="eastAsia" w:ascii="黑体" w:hAnsi="黑体" w:eastAsia="黑体" w:cs="黑体"/>
          <w:color w:val="000000"/>
          <w:sz w:val="32"/>
          <w:szCs w:val="32"/>
          <w:shd w:val="clear" w:color="auto" w:fill="FFFFFF"/>
        </w:rPr>
        <w:t xml:space="preserve">第十二条  </w:t>
      </w:r>
      <w:r>
        <w:rPr>
          <w:rFonts w:hint="eastAsia" w:ascii="仿宋_GB2312" w:hAnsi="仿宋_GB2312" w:eastAsia="仿宋_GB2312" w:cs="仿宋_GB2312"/>
          <w:color w:val="000000"/>
          <w:sz w:val="32"/>
          <w:szCs w:val="32"/>
          <w:shd w:val="clear" w:color="auto" w:fill="FFFFFF"/>
        </w:rPr>
        <w:t>自然资源主管部门应当会同住房和城乡建设部门将海绵城市建设主要技术指标纳入土地供应的规划条件。</w:t>
      </w:r>
    </w:p>
    <w:p>
      <w:pPr>
        <w:pStyle w:val="12"/>
        <w:shd w:val="clear" w:color="auto" w:fill="FFFFFF"/>
        <w:spacing w:before="0" w:beforeAutospacing="0" w:after="0" w:afterAutospacing="0" w:line="520" w:lineRule="exac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对</w:t>
      </w:r>
      <w:r>
        <w:rPr>
          <w:rFonts w:hint="eastAsia" w:ascii="仿宋_GB2312" w:hAnsi="仿宋_GB2312" w:eastAsia="仿宋_GB2312" w:cs="仿宋_GB2312"/>
          <w:color w:val="000000"/>
          <w:spacing w:val="-6"/>
          <w:sz w:val="32"/>
          <w:szCs w:val="32"/>
          <w:shd w:val="clear" w:color="auto" w:fill="FFFFFF"/>
        </w:rPr>
        <w:t>新建、扩建项目以及</w:t>
      </w:r>
      <w:r>
        <w:rPr>
          <w:rFonts w:hint="eastAsia" w:ascii="仿宋_GB2312" w:hAnsi="仿宋_GB2312" w:eastAsia="仿宋_GB2312" w:cs="仿宋_GB2312"/>
          <w:color w:val="000000"/>
          <w:sz w:val="32"/>
          <w:szCs w:val="32"/>
          <w:shd w:val="clear" w:color="auto" w:fill="FFFFFF"/>
        </w:rPr>
        <w:t>无需办理选址、土地供应手续的改造提升类项目，发展改革、住房和城乡建设等部门</w:t>
      </w:r>
      <w:r>
        <w:rPr>
          <w:rFonts w:hint="eastAsia" w:ascii="仿宋_GB2312" w:hAnsi="仿宋_GB2312" w:eastAsia="仿宋_GB2312" w:cs="仿宋_GB2312"/>
          <w:color w:val="000000"/>
          <w:spacing w:val="-6"/>
          <w:sz w:val="32"/>
          <w:szCs w:val="32"/>
          <w:shd w:val="clear" w:color="auto" w:fill="FFFFFF"/>
        </w:rPr>
        <w:t>应当</w:t>
      </w:r>
      <w:r>
        <w:rPr>
          <w:rFonts w:hint="eastAsia" w:ascii="仿宋_GB2312" w:hAnsi="仿宋_GB2312" w:eastAsia="仿宋_GB2312" w:cs="仿宋_GB2312"/>
          <w:color w:val="000000"/>
          <w:sz w:val="32"/>
          <w:szCs w:val="32"/>
          <w:shd w:val="clear" w:color="auto" w:fill="FFFFFF"/>
        </w:rPr>
        <w:t>在可行性研究评估、初步设计审查、施工图设计文件审查、施工许可等环节监督建设单位落实</w:t>
      </w:r>
      <w:bookmarkStart w:id="1" w:name="_Hlk144130870"/>
      <w:r>
        <w:rPr>
          <w:rFonts w:hint="eastAsia" w:ascii="仿宋_GB2312" w:hAnsi="仿宋_GB2312" w:eastAsia="仿宋_GB2312" w:cs="仿宋_GB2312"/>
          <w:color w:val="000000"/>
          <w:sz w:val="32"/>
          <w:szCs w:val="32"/>
          <w:shd w:val="clear" w:color="auto" w:fill="FFFFFF"/>
        </w:rPr>
        <w:t>海绵城市建设主要技术指标和要求。</w:t>
      </w:r>
    </w:p>
    <w:bookmarkEnd w:id="1"/>
    <w:p>
      <w:pPr>
        <w:pStyle w:val="12"/>
        <w:shd w:val="clear" w:color="auto" w:fill="FFFFFF"/>
        <w:spacing w:before="0" w:beforeAutospacing="0" w:after="0" w:afterAutospacing="0" w:line="52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海绵城市设施工程应当与建设项目主体工程同步设计、同步施工、同步验收、同步交付使用。</w:t>
      </w:r>
    </w:p>
    <w:p>
      <w:pPr>
        <w:pStyle w:val="12"/>
        <w:shd w:val="clear" w:color="auto" w:fill="FFFFFF"/>
        <w:spacing w:before="0" w:beforeAutospacing="0" w:after="0" w:afterAutospacing="0" w:line="520" w:lineRule="exact"/>
        <w:ind w:firstLine="640" w:firstLineChars="200"/>
        <w:rPr>
          <w:rFonts w:ascii="仿宋_GB2312" w:hAnsi="仿宋_GB2312" w:eastAsia="仿宋_GB2312"/>
          <w:color w:val="000000"/>
          <w:sz w:val="32"/>
          <w:szCs w:val="32"/>
          <w:shd w:val="clear" w:color="auto" w:fill="FFFFFF"/>
        </w:rPr>
      </w:pPr>
      <w:r>
        <w:rPr>
          <w:rFonts w:hint="eastAsia" w:ascii="黑体" w:hAnsi="黑体" w:eastAsia="黑体" w:cs="黑体"/>
          <w:color w:val="000000"/>
          <w:sz w:val="32"/>
          <w:szCs w:val="32"/>
          <w:shd w:val="clear" w:color="auto" w:fill="FFFFFF"/>
        </w:rPr>
        <w:t xml:space="preserve">第十三条  </w:t>
      </w:r>
      <w:r>
        <w:rPr>
          <w:rFonts w:hint="eastAsia" w:ascii="仿宋_GB2312" w:hAnsi="仿宋_GB2312" w:eastAsia="仿宋_GB2312" w:cs="仿宋_GB2312"/>
          <w:color w:val="000000"/>
          <w:sz w:val="32"/>
          <w:szCs w:val="32"/>
          <w:shd w:val="clear" w:color="auto" w:fill="FFFFFF"/>
        </w:rPr>
        <w:t>建设单位</w:t>
      </w:r>
      <w:r>
        <w:rPr>
          <w:rFonts w:hint="eastAsia" w:ascii="仿宋_GB2312" w:hAnsi="仿宋_GB2312" w:eastAsia="仿宋_GB2312" w:cs="仿宋_GB2312"/>
          <w:color w:val="000000"/>
          <w:spacing w:val="-6"/>
          <w:sz w:val="32"/>
          <w:szCs w:val="32"/>
          <w:shd w:val="clear" w:color="auto" w:fill="FFFFFF"/>
        </w:rPr>
        <w:t>在</w:t>
      </w:r>
      <w:r>
        <w:rPr>
          <w:rFonts w:hint="eastAsia" w:ascii="仿宋_GB2312" w:hAnsi="仿宋_GB2312" w:eastAsia="仿宋_GB2312" w:cs="仿宋_GB2312"/>
          <w:color w:val="000000"/>
          <w:sz w:val="32"/>
          <w:szCs w:val="32"/>
          <w:shd w:val="clear" w:color="auto" w:fill="FFFFFF"/>
        </w:rPr>
        <w:t>编制项目建议书、可行性研究报告和设计招标文件时，应当载明海绵城市建设内容和要求。</w:t>
      </w:r>
    </w:p>
    <w:p>
      <w:pPr>
        <w:pStyle w:val="12"/>
        <w:shd w:val="clear" w:color="auto" w:fill="FFFFFF"/>
        <w:adjustRightInd w:val="0"/>
        <w:snapToGrid w:val="0"/>
        <w:spacing w:before="0" w:beforeAutospacing="0" w:after="0" w:afterAutospacing="0" w:line="520" w:lineRule="exac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建设单位在组织编制建设项目设计方案以及施工图设计文件时，应当设置海绵城市专篇，符合海绵城市建设技术规范和标准。</w:t>
      </w:r>
    </w:p>
    <w:p>
      <w:pPr>
        <w:adjustRightInd w:val="0"/>
        <w:snapToGrid w:val="0"/>
        <w:spacing w:line="520" w:lineRule="exact"/>
        <w:ind w:firstLine="640" w:firstLineChars="200"/>
        <w:rPr>
          <w:rFonts w:ascii="仿宋_GB2312" w:hAnsi="仿宋_GB2312" w:eastAsia="仿宋_GB2312"/>
          <w:color w:val="000000"/>
          <w:kern w:val="0"/>
          <w:sz w:val="32"/>
          <w:szCs w:val="32"/>
          <w:shd w:val="clear" w:color="auto" w:fill="FFFFFF"/>
        </w:rPr>
      </w:pPr>
      <w:r>
        <w:rPr>
          <w:rFonts w:hint="eastAsia" w:ascii="黑体" w:hAnsi="黑体" w:eastAsia="黑体" w:cs="黑体"/>
          <w:color w:val="000000"/>
          <w:kern w:val="0"/>
          <w:sz w:val="32"/>
          <w:szCs w:val="32"/>
          <w:shd w:val="clear" w:color="auto" w:fill="FFFFFF"/>
        </w:rPr>
        <w:t xml:space="preserve">第十四条  </w:t>
      </w:r>
      <w:r>
        <w:rPr>
          <w:rFonts w:hint="eastAsia" w:ascii="仿宋_GB2312" w:hAnsi="仿宋_GB2312" w:eastAsia="仿宋_GB2312" w:cs="仿宋_GB2312"/>
          <w:color w:val="000000"/>
          <w:kern w:val="0"/>
          <w:sz w:val="32"/>
          <w:szCs w:val="32"/>
          <w:shd w:val="clear" w:color="auto" w:fill="FFFFFF"/>
        </w:rPr>
        <w:t>设计单位应当按照海绵城市建设</w:t>
      </w:r>
      <w:r>
        <w:rPr>
          <w:rFonts w:hint="eastAsia" w:ascii="仿宋_GB2312" w:hAnsi="仿宋_GB2312" w:eastAsia="仿宋_GB2312" w:cs="仿宋_GB2312"/>
          <w:color w:val="000000"/>
          <w:sz w:val="32"/>
          <w:szCs w:val="32"/>
          <w:shd w:val="clear" w:color="auto" w:fill="FFFFFF"/>
        </w:rPr>
        <w:t>技术规范和标准</w:t>
      </w:r>
      <w:r>
        <w:rPr>
          <w:rFonts w:hint="eastAsia" w:ascii="仿宋_GB2312" w:hAnsi="仿宋_GB2312" w:eastAsia="仿宋_GB2312" w:cs="仿宋_GB2312"/>
          <w:color w:val="000000"/>
          <w:kern w:val="0"/>
          <w:sz w:val="32"/>
          <w:szCs w:val="32"/>
          <w:shd w:val="clear" w:color="auto" w:fill="FFFFFF"/>
        </w:rPr>
        <w:t>开展专项设计，并就审查合格的施工图设计文件向施工单位作出详细说明。</w:t>
      </w:r>
    </w:p>
    <w:p>
      <w:pPr>
        <w:pStyle w:val="12"/>
        <w:shd w:val="clear" w:color="auto" w:fill="FFFFFF"/>
        <w:spacing w:before="0" w:beforeAutospacing="0" w:after="0" w:afterAutospacing="0" w:line="520" w:lineRule="exac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项目实施过程中，确需进行设计变更的，不得降低项目海绵城市建设主要技术指标和要求。</w:t>
      </w:r>
    </w:p>
    <w:p>
      <w:pPr>
        <w:pStyle w:val="12"/>
        <w:shd w:val="clear" w:color="auto" w:fill="FFFFFF"/>
        <w:spacing w:before="0" w:beforeAutospacing="0" w:after="0" w:afterAutospacing="0" w:line="520" w:lineRule="exact"/>
        <w:ind w:firstLine="640" w:firstLineChars="200"/>
        <w:rPr>
          <w:rFonts w:ascii="仿宋_GB2312" w:hAnsi="仿宋_GB2312" w:eastAsia="仿宋_GB2312" w:cs="仿宋_GB2312"/>
          <w:color w:val="000000"/>
          <w:sz w:val="32"/>
          <w:szCs w:val="32"/>
          <w:shd w:val="clear" w:color="auto" w:fill="FFFFFF"/>
        </w:rPr>
      </w:pPr>
      <w:r>
        <w:rPr>
          <w:rFonts w:hint="eastAsia" w:ascii="黑体" w:hAnsi="黑体" w:eastAsia="黑体" w:cs="黑体"/>
          <w:color w:val="000000"/>
          <w:sz w:val="32"/>
          <w:szCs w:val="32"/>
          <w:shd w:val="clear" w:color="auto" w:fill="FFFFFF"/>
        </w:rPr>
        <w:t xml:space="preserve">第十五条  </w:t>
      </w:r>
      <w:r>
        <w:rPr>
          <w:rFonts w:hint="eastAsia" w:ascii="仿宋_GB2312" w:hAnsi="仿宋_GB2312" w:eastAsia="仿宋_GB2312" w:cs="仿宋_GB2312"/>
          <w:color w:val="000000"/>
          <w:sz w:val="32"/>
          <w:szCs w:val="32"/>
          <w:shd w:val="clear" w:color="auto" w:fill="FFFFFF"/>
        </w:rPr>
        <w:t>施工图审查机构应当按照海绵城市相关技术规范和标准对施工图设计文件进行审查。对不符合海绵城市建设技术规范和标准的，不得出具审查合格意见。</w:t>
      </w:r>
    </w:p>
    <w:p>
      <w:pPr>
        <w:adjustRightInd w:val="0"/>
        <w:snapToGrid w:val="0"/>
        <w:spacing w:line="520" w:lineRule="exact"/>
        <w:ind w:firstLine="640" w:firstLineChars="200"/>
        <w:rPr>
          <w:rFonts w:ascii="仿宋_GB2312" w:hAnsi="仿宋_GB2312" w:eastAsia="仿宋_GB2312" w:cs="仿宋_GB2312"/>
          <w:color w:val="000000"/>
          <w:kern w:val="0"/>
          <w:sz w:val="32"/>
          <w:szCs w:val="32"/>
          <w:shd w:val="clear" w:color="auto" w:fill="FFFFFF"/>
        </w:rPr>
      </w:pPr>
      <w:r>
        <w:rPr>
          <w:rFonts w:hint="eastAsia" w:ascii="黑体" w:hAnsi="黑体" w:eastAsia="黑体" w:cs="黑体"/>
          <w:color w:val="000000"/>
          <w:kern w:val="0"/>
          <w:sz w:val="32"/>
          <w:szCs w:val="32"/>
          <w:shd w:val="clear" w:color="auto" w:fill="FFFFFF"/>
        </w:rPr>
        <w:t xml:space="preserve">第十六条  </w:t>
      </w:r>
      <w:r>
        <w:rPr>
          <w:rFonts w:hint="eastAsia" w:ascii="仿宋_GB2312" w:hAnsi="仿宋_GB2312" w:eastAsia="仿宋_GB2312" w:cs="仿宋_GB2312"/>
          <w:color w:val="000000"/>
          <w:kern w:val="0"/>
          <w:sz w:val="32"/>
          <w:szCs w:val="32"/>
          <w:shd w:val="clear" w:color="auto" w:fill="FFFFFF"/>
        </w:rPr>
        <w:t>施工单位应当按照下列要求进行海绵城市建设工程施工：</w:t>
      </w:r>
    </w:p>
    <w:p>
      <w:pPr>
        <w:adjustRightInd w:val="0"/>
        <w:snapToGrid w:val="0"/>
        <w:spacing w:line="520" w:lineRule="exact"/>
        <w:ind w:firstLine="640" w:firstLineChars="200"/>
        <w:rPr>
          <w:rFonts w:ascii="仿宋_GB2312" w:hAnsi="仿宋_GB2312" w:eastAsia="仿宋_GB2312"/>
          <w:color w:val="000000"/>
          <w:kern w:val="0"/>
          <w:sz w:val="32"/>
          <w:szCs w:val="32"/>
          <w:shd w:val="clear" w:color="auto" w:fill="FFFFFF"/>
        </w:rPr>
      </w:pPr>
      <w:r>
        <w:rPr>
          <w:rFonts w:hint="eastAsia" w:ascii="仿宋_GB2312" w:hAnsi="仿宋_GB2312" w:eastAsia="仿宋_GB2312" w:cs="仿宋_GB2312"/>
          <w:color w:val="000000"/>
          <w:kern w:val="0"/>
          <w:sz w:val="32"/>
          <w:szCs w:val="32"/>
          <w:shd w:val="clear" w:color="auto" w:fill="FFFFFF"/>
        </w:rPr>
        <w:t>（一）按照工程设计图纸和技术标准施工，不得擅自修改工程设计，不得擅自去除、削减海绵城市设施功能或者降低海绵城市建设标准；</w:t>
      </w:r>
    </w:p>
    <w:p>
      <w:pPr>
        <w:adjustRightInd w:val="0"/>
        <w:snapToGrid w:val="0"/>
        <w:spacing w:line="520" w:lineRule="exact"/>
        <w:ind w:firstLine="640" w:firstLineChars="200"/>
        <w:rPr>
          <w:rFonts w:ascii="仿宋_GB2312" w:hAnsi="仿宋_GB2312" w:eastAsia="仿宋_GB2312"/>
          <w:color w:val="000000"/>
          <w:kern w:val="0"/>
          <w:sz w:val="32"/>
          <w:szCs w:val="32"/>
          <w:shd w:val="clear" w:color="auto" w:fill="FFFFFF"/>
        </w:rPr>
      </w:pPr>
      <w:r>
        <w:rPr>
          <w:rFonts w:hint="eastAsia" w:ascii="仿宋_GB2312" w:hAnsi="仿宋_GB2312" w:eastAsia="仿宋_GB2312" w:cs="仿宋_GB2312"/>
          <w:color w:val="000000"/>
          <w:kern w:val="0"/>
          <w:sz w:val="32"/>
          <w:szCs w:val="32"/>
          <w:shd w:val="clear" w:color="auto" w:fill="FFFFFF"/>
        </w:rPr>
        <w:t>（二）按照工程设计要求、施工技术标准和合同约定，对工程所需建筑材料、建筑构配件和设备进行检验，不合格的不得使用；</w:t>
      </w:r>
    </w:p>
    <w:p>
      <w:pPr>
        <w:adjustRightInd w:val="0"/>
        <w:snapToGrid w:val="0"/>
        <w:spacing w:line="520" w:lineRule="exact"/>
        <w:ind w:firstLine="640" w:firstLineChars="200"/>
        <w:rPr>
          <w:rFonts w:ascii="仿宋_GB2312" w:hAnsi="仿宋_GB2312" w:eastAsia="仿宋_GB2312"/>
          <w:color w:val="000000"/>
          <w:kern w:val="0"/>
          <w:sz w:val="32"/>
          <w:szCs w:val="32"/>
          <w:shd w:val="clear" w:color="auto" w:fill="FFFFFF"/>
        </w:rPr>
      </w:pPr>
      <w:r>
        <w:rPr>
          <w:rFonts w:hint="eastAsia" w:ascii="仿宋_GB2312" w:hAnsi="仿宋_GB2312" w:eastAsia="仿宋_GB2312" w:cs="仿宋_GB2312"/>
          <w:color w:val="000000"/>
          <w:kern w:val="0"/>
          <w:sz w:val="32"/>
          <w:szCs w:val="32"/>
          <w:shd w:val="clear" w:color="auto" w:fill="FFFFFF"/>
        </w:rPr>
        <w:t>（三）做好海绵城市设施中隐蔽工程的质量检查和记录，并在工程隐蔽前通知工程质量检测单位进行检测；</w:t>
      </w:r>
    </w:p>
    <w:p>
      <w:pPr>
        <w:adjustRightInd w:val="0"/>
        <w:snapToGrid w:val="0"/>
        <w:spacing w:line="520" w:lineRule="exact"/>
        <w:ind w:firstLine="640" w:firstLineChars="200"/>
        <w:rPr>
          <w:rFonts w:ascii="仿宋_GB2312" w:hAnsi="仿宋_GB2312" w:eastAsia="仿宋_GB2312"/>
          <w:color w:val="000000"/>
          <w:kern w:val="0"/>
          <w:sz w:val="32"/>
          <w:szCs w:val="32"/>
          <w:shd w:val="clear" w:color="auto" w:fill="FFFFFF"/>
        </w:rPr>
      </w:pPr>
      <w:r>
        <w:rPr>
          <w:rFonts w:hint="eastAsia" w:ascii="仿宋_GB2312" w:hAnsi="仿宋_GB2312" w:eastAsia="仿宋_GB2312" w:cs="仿宋_GB2312"/>
          <w:color w:val="000000"/>
          <w:kern w:val="0"/>
          <w:sz w:val="32"/>
          <w:szCs w:val="32"/>
          <w:shd w:val="clear" w:color="auto" w:fill="FFFFFF"/>
        </w:rPr>
        <w:t>（四）对施工中出现质量问题的或者竣工验收不合格的海绵城市建设工程，应当负责修复。</w:t>
      </w:r>
    </w:p>
    <w:p>
      <w:pPr>
        <w:adjustRightInd w:val="0"/>
        <w:snapToGrid w:val="0"/>
        <w:spacing w:line="520" w:lineRule="exact"/>
        <w:ind w:firstLine="640" w:firstLineChars="200"/>
        <w:rPr>
          <w:rFonts w:ascii="仿宋_GB2312" w:hAnsi="仿宋_GB2312" w:eastAsia="仿宋_GB2312" w:cs="仿宋_GB2312"/>
          <w:color w:val="000000"/>
          <w:kern w:val="0"/>
          <w:sz w:val="32"/>
          <w:szCs w:val="32"/>
          <w:shd w:val="clear" w:color="auto" w:fill="FFFFFF"/>
        </w:rPr>
      </w:pPr>
      <w:r>
        <w:rPr>
          <w:rFonts w:hint="eastAsia" w:ascii="黑体" w:hAnsi="黑体" w:eastAsia="黑体" w:cs="黑体"/>
          <w:color w:val="000000"/>
          <w:kern w:val="0"/>
          <w:sz w:val="32"/>
          <w:szCs w:val="32"/>
          <w:shd w:val="clear" w:color="auto" w:fill="FFFFFF"/>
        </w:rPr>
        <w:t xml:space="preserve">第十七条  </w:t>
      </w:r>
      <w:r>
        <w:rPr>
          <w:rFonts w:hint="eastAsia" w:ascii="仿宋_GB2312" w:hAnsi="仿宋_GB2312" w:eastAsia="仿宋_GB2312" w:cs="仿宋_GB2312"/>
          <w:color w:val="000000"/>
          <w:kern w:val="0"/>
          <w:sz w:val="32"/>
          <w:szCs w:val="32"/>
          <w:shd w:val="clear" w:color="auto" w:fill="FFFFFF"/>
        </w:rPr>
        <w:t>监理单位应当按照下列要求进行海绵城市建设工程监理：</w:t>
      </w:r>
    </w:p>
    <w:p>
      <w:pPr>
        <w:adjustRightInd w:val="0"/>
        <w:snapToGrid w:val="0"/>
        <w:spacing w:line="520" w:lineRule="exact"/>
        <w:ind w:firstLine="640" w:firstLineChars="200"/>
        <w:rPr>
          <w:rFonts w:ascii="仿宋_GB2312" w:hAnsi="仿宋_GB2312" w:eastAsia="仿宋_GB2312"/>
          <w:color w:val="000000"/>
          <w:kern w:val="0"/>
          <w:sz w:val="32"/>
          <w:szCs w:val="32"/>
          <w:shd w:val="clear" w:color="auto" w:fill="FFFFFF"/>
        </w:rPr>
      </w:pPr>
      <w:r>
        <w:rPr>
          <w:rFonts w:hint="eastAsia" w:ascii="仿宋_GB2312" w:hAnsi="仿宋_GB2312" w:eastAsia="仿宋_GB2312" w:cs="仿宋_GB2312"/>
          <w:color w:val="000000"/>
          <w:kern w:val="0"/>
          <w:sz w:val="32"/>
          <w:szCs w:val="32"/>
          <w:shd w:val="clear" w:color="auto" w:fill="FFFFFF"/>
        </w:rPr>
        <w:t>（一）选派具备相应资格的总监理工程师和监理工程师进驻施工现场；</w:t>
      </w:r>
    </w:p>
    <w:p>
      <w:pPr>
        <w:adjustRightInd w:val="0"/>
        <w:snapToGrid w:val="0"/>
        <w:spacing w:line="520" w:lineRule="exact"/>
        <w:ind w:firstLine="640" w:firstLineChars="200"/>
        <w:rPr>
          <w:rFonts w:ascii="仿宋_GB2312" w:hAnsi="仿宋_GB2312" w:eastAsia="仿宋_GB2312"/>
          <w:color w:val="000000"/>
          <w:kern w:val="0"/>
          <w:sz w:val="32"/>
          <w:szCs w:val="32"/>
          <w:shd w:val="clear" w:color="auto" w:fill="FFFFFF"/>
        </w:rPr>
      </w:pPr>
      <w:r>
        <w:rPr>
          <w:rFonts w:hint="eastAsia" w:ascii="仿宋_GB2312" w:hAnsi="仿宋_GB2312" w:eastAsia="仿宋_GB2312" w:cs="仿宋_GB2312"/>
          <w:color w:val="000000"/>
          <w:kern w:val="0"/>
          <w:sz w:val="32"/>
          <w:szCs w:val="32"/>
          <w:shd w:val="clear" w:color="auto" w:fill="FFFFFF"/>
        </w:rPr>
        <w:t>（二）监理工程师应当按照工程监理规范的要求，采取旁站、巡视和平行检验等形式，对建设工程实施监理；</w:t>
      </w:r>
    </w:p>
    <w:p>
      <w:pPr>
        <w:adjustRightInd w:val="0"/>
        <w:snapToGrid w:val="0"/>
        <w:spacing w:line="520" w:lineRule="exact"/>
        <w:ind w:firstLine="640" w:firstLineChars="200"/>
        <w:rPr>
          <w:rFonts w:ascii="仿宋_GB2312" w:hAnsi="仿宋_GB2312" w:eastAsia="仿宋_GB2312"/>
          <w:color w:val="000000"/>
          <w:kern w:val="0"/>
          <w:sz w:val="32"/>
          <w:szCs w:val="32"/>
          <w:shd w:val="clear" w:color="auto" w:fill="FFFFFF"/>
        </w:rPr>
      </w:pPr>
      <w:r>
        <w:rPr>
          <w:rFonts w:hint="eastAsia" w:ascii="仿宋_GB2312" w:hAnsi="仿宋_GB2312" w:eastAsia="仿宋_GB2312" w:cs="仿宋_GB2312"/>
          <w:color w:val="000000"/>
          <w:kern w:val="0"/>
          <w:sz w:val="32"/>
          <w:szCs w:val="32"/>
          <w:shd w:val="clear" w:color="auto" w:fill="FFFFFF"/>
        </w:rPr>
        <w:t>（三）加强对工程原材料的见证取样检测，保证进场原材料先检后用，</w:t>
      </w:r>
      <w:r>
        <w:rPr>
          <w:rFonts w:hint="eastAsia" w:ascii="仿宋_GB2312" w:hAnsi="仿宋_GB2312" w:eastAsia="仿宋_GB2312" w:cs="仿宋_GB2312"/>
          <w:color w:val="000000"/>
          <w:spacing w:val="-6"/>
          <w:kern w:val="0"/>
          <w:sz w:val="32"/>
          <w:szCs w:val="32"/>
          <w:shd w:val="clear" w:color="auto" w:fill="FFFFFF"/>
        </w:rPr>
        <w:t>对</w:t>
      </w:r>
      <w:r>
        <w:rPr>
          <w:rFonts w:hint="eastAsia" w:ascii="仿宋_GB2312" w:hAnsi="仿宋_GB2312" w:eastAsia="仿宋_GB2312" w:cs="仿宋_GB2312"/>
          <w:color w:val="000000"/>
          <w:kern w:val="0"/>
          <w:sz w:val="32"/>
          <w:szCs w:val="32"/>
          <w:shd w:val="clear" w:color="auto" w:fill="FFFFFF"/>
        </w:rPr>
        <w:t>检测不合格的原材料不得使用；</w:t>
      </w:r>
    </w:p>
    <w:p>
      <w:pPr>
        <w:adjustRightInd w:val="0"/>
        <w:snapToGrid w:val="0"/>
        <w:spacing w:line="520" w:lineRule="exact"/>
        <w:ind w:firstLine="640" w:firstLineChars="200"/>
        <w:rPr>
          <w:rFonts w:ascii="仿宋_GB2312" w:hAnsi="仿宋_GB2312" w:eastAsia="仿宋_GB2312"/>
          <w:color w:val="000000"/>
          <w:kern w:val="0"/>
          <w:sz w:val="32"/>
          <w:szCs w:val="32"/>
          <w:shd w:val="clear" w:color="auto" w:fill="FFFFFF"/>
        </w:rPr>
      </w:pPr>
      <w:r>
        <w:rPr>
          <w:rFonts w:hint="eastAsia" w:ascii="仿宋_GB2312" w:hAnsi="仿宋_GB2312" w:eastAsia="仿宋_GB2312" w:cs="仿宋_GB2312"/>
          <w:color w:val="000000"/>
          <w:kern w:val="0"/>
          <w:sz w:val="32"/>
          <w:szCs w:val="32"/>
          <w:shd w:val="clear" w:color="auto" w:fill="FFFFFF"/>
        </w:rPr>
        <w:t>（四）工程监理人员认为工程施工不符合工程设计要求、施工技术标准和合同约定的，有权要求施工单位改正。</w:t>
      </w:r>
    </w:p>
    <w:p>
      <w:pPr>
        <w:shd w:val="clear" w:color="auto" w:fill="FFFFFF"/>
        <w:adjustRightInd w:val="0"/>
        <w:snapToGrid w:val="0"/>
        <w:spacing w:line="520" w:lineRule="exact"/>
        <w:ind w:firstLine="640" w:firstLineChars="200"/>
        <w:rPr>
          <w:rFonts w:ascii="仿宋_GB2312" w:hAnsi="仿宋_GB2312" w:eastAsia="仿宋_GB2312" w:cs="仿宋_GB2312"/>
          <w:color w:val="000000"/>
          <w:kern w:val="0"/>
          <w:sz w:val="32"/>
          <w:szCs w:val="32"/>
          <w:shd w:val="clear" w:color="auto" w:fill="FFFFFF"/>
        </w:rPr>
      </w:pPr>
      <w:r>
        <w:rPr>
          <w:rFonts w:hint="eastAsia" w:ascii="黑体" w:hAnsi="黑体" w:eastAsia="黑体" w:cs="黑体"/>
          <w:color w:val="000000"/>
          <w:kern w:val="0"/>
          <w:sz w:val="32"/>
          <w:szCs w:val="32"/>
          <w:shd w:val="clear" w:color="auto" w:fill="FFFFFF"/>
        </w:rPr>
        <w:t xml:space="preserve">第十八条  </w:t>
      </w:r>
      <w:r>
        <w:rPr>
          <w:rFonts w:hint="eastAsia" w:ascii="仿宋_GB2312" w:hAnsi="仿宋_GB2312" w:eastAsia="仿宋_GB2312" w:cs="仿宋_GB2312"/>
          <w:color w:val="000000"/>
          <w:kern w:val="0"/>
          <w:sz w:val="32"/>
          <w:szCs w:val="32"/>
          <w:shd w:val="clear" w:color="auto" w:fill="FFFFFF"/>
        </w:rPr>
        <w:t>因建设环境、内容、功能等因素制约，不能完全落实海绵城市建设主要技术指标和要求的项目，经专家论证并报项目审批机关批准后，可以降低海绵城市建设要求。</w:t>
      </w:r>
    </w:p>
    <w:p>
      <w:pPr>
        <w:shd w:val="clear" w:color="auto" w:fill="FFFFFF"/>
        <w:adjustRightInd w:val="0"/>
        <w:snapToGrid w:val="0"/>
        <w:spacing w:line="520" w:lineRule="exact"/>
        <w:ind w:firstLine="640" w:firstLineChars="200"/>
        <w:rPr>
          <w:rFonts w:ascii="仿宋_GB2312" w:hAnsi="仿宋_GB2312" w:eastAsia="仿宋_GB2312" w:cs="仿宋_GB2312"/>
          <w:color w:val="000000"/>
          <w:kern w:val="0"/>
          <w:sz w:val="32"/>
          <w:szCs w:val="32"/>
          <w:shd w:val="clear" w:color="auto" w:fill="FFFFFF"/>
        </w:rPr>
      </w:pPr>
      <w:r>
        <w:rPr>
          <w:rFonts w:hint="eastAsia" w:ascii="仿宋_GB2312" w:hAnsi="仿宋_GB2312" w:eastAsia="仿宋_GB2312" w:cs="仿宋_GB2312"/>
          <w:color w:val="000000"/>
          <w:kern w:val="0"/>
          <w:sz w:val="32"/>
          <w:szCs w:val="32"/>
          <w:shd w:val="clear" w:color="auto" w:fill="FFFFFF"/>
        </w:rPr>
        <w:t>符合下列条件之一的项目工程，可以不对海绵城市建设作要求：</w:t>
      </w:r>
    </w:p>
    <w:p>
      <w:pPr>
        <w:shd w:val="clear" w:color="auto" w:fill="FFFFFF"/>
        <w:adjustRightInd w:val="0"/>
        <w:snapToGrid w:val="0"/>
        <w:spacing w:line="520" w:lineRule="exact"/>
        <w:ind w:firstLine="640" w:firstLineChars="200"/>
        <w:rPr>
          <w:rFonts w:ascii="仿宋_GB2312" w:hAnsi="仿宋_GB2312" w:eastAsia="仿宋_GB2312" w:cs="仿宋_GB2312"/>
          <w:color w:val="000000"/>
          <w:kern w:val="0"/>
          <w:sz w:val="32"/>
          <w:szCs w:val="32"/>
          <w:shd w:val="clear" w:color="auto" w:fill="FFFFFF"/>
        </w:rPr>
      </w:pPr>
      <w:r>
        <w:rPr>
          <w:rFonts w:hint="eastAsia" w:ascii="仿宋_GB2312" w:hAnsi="仿宋_GB2312" w:eastAsia="仿宋_GB2312" w:cs="仿宋_GB2312"/>
          <w:color w:val="000000"/>
          <w:kern w:val="0"/>
          <w:sz w:val="32"/>
          <w:szCs w:val="32"/>
          <w:shd w:val="clear" w:color="auto" w:fill="FFFFFF"/>
        </w:rPr>
        <w:t>（一）位于地质条件不适宜进行海绵城市建设的区域或者经过地质勘查后认定不具备海绵城市建设条件的项目；</w:t>
      </w:r>
    </w:p>
    <w:p>
      <w:pPr>
        <w:shd w:val="clear" w:color="auto" w:fill="FFFFFF"/>
        <w:adjustRightInd w:val="0"/>
        <w:snapToGrid w:val="0"/>
        <w:spacing w:line="520" w:lineRule="exact"/>
        <w:ind w:firstLine="640" w:firstLineChars="200"/>
        <w:rPr>
          <w:rFonts w:ascii="仿宋_GB2312" w:hAnsi="仿宋_GB2312" w:eastAsia="仿宋_GB2312" w:cs="仿宋_GB2312"/>
          <w:color w:val="000000"/>
          <w:kern w:val="0"/>
          <w:sz w:val="32"/>
          <w:szCs w:val="32"/>
          <w:shd w:val="clear" w:color="auto" w:fill="FFFFFF"/>
        </w:rPr>
      </w:pPr>
      <w:r>
        <w:rPr>
          <w:rFonts w:hint="eastAsia" w:ascii="仿宋_GB2312" w:hAnsi="仿宋_GB2312" w:eastAsia="仿宋_GB2312" w:cs="仿宋_GB2312"/>
          <w:color w:val="000000"/>
          <w:kern w:val="0"/>
          <w:sz w:val="32"/>
          <w:szCs w:val="32"/>
          <w:shd w:val="clear" w:color="auto" w:fill="FFFFFF"/>
        </w:rPr>
        <w:t>（二）特殊污染源地区的建设项目，如石油化工生产基地、加油站、大量生产或使用重金属企业、垃圾填埋场、综合性医院、传染病医院、危化品仓储区等；</w:t>
      </w:r>
    </w:p>
    <w:p>
      <w:pPr>
        <w:shd w:val="clear" w:color="auto" w:fill="FFFFFF"/>
        <w:adjustRightInd w:val="0"/>
        <w:snapToGrid w:val="0"/>
        <w:spacing w:line="520" w:lineRule="exact"/>
        <w:ind w:firstLine="640" w:firstLineChars="200"/>
        <w:rPr>
          <w:rFonts w:ascii="仿宋_GB2312" w:hAnsi="仿宋_GB2312" w:eastAsia="仿宋_GB2312" w:cs="仿宋_GB2312"/>
          <w:color w:val="000000"/>
          <w:kern w:val="0"/>
          <w:sz w:val="32"/>
          <w:szCs w:val="32"/>
          <w:shd w:val="clear" w:color="auto" w:fill="FFFFFF"/>
        </w:rPr>
      </w:pPr>
      <w:r>
        <w:rPr>
          <w:rFonts w:hint="eastAsia" w:ascii="仿宋_GB2312" w:hAnsi="仿宋_GB2312" w:eastAsia="仿宋_GB2312" w:cs="仿宋_GB2312"/>
          <w:color w:val="000000"/>
          <w:kern w:val="0"/>
          <w:sz w:val="32"/>
          <w:szCs w:val="32"/>
          <w:shd w:val="clear" w:color="auto" w:fill="FFFFFF"/>
        </w:rPr>
        <w:t>（三）不涉及室外、地面工程的旧建筑物翻新、改造、加固、加层等工程和地下空间开发利用工程；</w:t>
      </w:r>
    </w:p>
    <w:p>
      <w:pPr>
        <w:shd w:val="clear" w:color="auto" w:fill="FFFFFF"/>
        <w:adjustRightInd w:val="0"/>
        <w:snapToGrid w:val="0"/>
        <w:spacing w:line="520" w:lineRule="exact"/>
        <w:ind w:firstLine="640" w:firstLineChars="200"/>
        <w:rPr>
          <w:rFonts w:ascii="仿宋_GB2312" w:hAnsi="仿宋_GB2312" w:eastAsia="仿宋_GB2312" w:cs="仿宋_GB2312"/>
          <w:color w:val="000000"/>
          <w:kern w:val="0"/>
          <w:sz w:val="32"/>
          <w:szCs w:val="32"/>
          <w:shd w:val="clear" w:color="auto" w:fill="FFFFFF"/>
        </w:rPr>
      </w:pPr>
      <w:r>
        <w:rPr>
          <w:rFonts w:hint="eastAsia" w:ascii="仿宋_GB2312" w:hAnsi="仿宋_GB2312" w:eastAsia="仿宋_GB2312" w:cs="仿宋_GB2312"/>
          <w:color w:val="000000"/>
          <w:kern w:val="0"/>
          <w:sz w:val="32"/>
          <w:szCs w:val="32"/>
          <w:shd w:val="clear" w:color="auto" w:fill="FFFFFF"/>
        </w:rPr>
        <w:t>（四）应急抢险、临时建筑、保密工程等特殊工程。</w:t>
      </w:r>
    </w:p>
    <w:p>
      <w:pPr>
        <w:shd w:val="clear" w:color="auto" w:fill="FFFFFF"/>
        <w:adjustRightInd w:val="0"/>
        <w:snapToGrid w:val="0"/>
        <w:spacing w:line="520" w:lineRule="exact"/>
        <w:ind w:firstLine="640" w:firstLineChars="200"/>
        <w:rPr>
          <w:rFonts w:ascii="仿宋_GB2312" w:hAnsi="仿宋_GB2312" w:eastAsia="仿宋_GB2312"/>
          <w:color w:val="000000"/>
          <w:kern w:val="0"/>
          <w:sz w:val="32"/>
          <w:szCs w:val="32"/>
          <w:shd w:val="clear" w:color="auto" w:fill="FFFFFF"/>
        </w:rPr>
      </w:pPr>
      <w:r>
        <w:rPr>
          <w:rFonts w:hint="eastAsia" w:ascii="黑体" w:hAnsi="黑体" w:eastAsia="黑体" w:cs="黑体"/>
          <w:color w:val="000000"/>
          <w:kern w:val="0"/>
          <w:sz w:val="32"/>
          <w:szCs w:val="32"/>
          <w:shd w:val="clear" w:color="auto" w:fill="FFFFFF"/>
        </w:rPr>
        <w:t xml:space="preserve">第十九条  </w:t>
      </w:r>
      <w:r>
        <w:rPr>
          <w:rFonts w:hint="eastAsia" w:ascii="仿宋_GB2312" w:hAnsi="仿宋_GB2312" w:eastAsia="仿宋_GB2312" w:cs="仿宋_GB2312"/>
          <w:color w:val="000000"/>
          <w:kern w:val="0"/>
          <w:sz w:val="32"/>
          <w:szCs w:val="32"/>
          <w:shd w:val="clear" w:color="auto" w:fill="FFFFFF"/>
        </w:rPr>
        <w:t>住房和城乡建设、城市管理、水利、交通运输、市</w:t>
      </w:r>
      <w:r>
        <w:rPr>
          <w:rFonts w:hint="eastAsia" w:ascii="仿宋_GB2312" w:hAnsi="仿宋_GB2312" w:eastAsia="仿宋_GB2312" w:cs="仿宋_GB2312"/>
          <w:color w:val="000000"/>
          <w:sz w:val="32"/>
          <w:szCs w:val="32"/>
          <w:shd w:val="clear" w:color="auto" w:fill="FFFFFF"/>
        </w:rPr>
        <w:t>场监督管理</w:t>
      </w:r>
      <w:r>
        <w:rPr>
          <w:rFonts w:hint="eastAsia" w:ascii="仿宋_GB2312" w:hAnsi="仿宋_GB2312" w:eastAsia="仿宋_GB2312" w:cs="仿宋_GB2312"/>
          <w:color w:val="000000"/>
          <w:kern w:val="0"/>
          <w:sz w:val="32"/>
          <w:szCs w:val="32"/>
          <w:shd w:val="clear" w:color="auto" w:fill="FFFFFF"/>
        </w:rPr>
        <w:t>等部门应当依照法定职责通过行政许可、工程质量监督、技术审查等方式对海绵城市建设项目的规划实施、设计、施工、竣工验收等工作进行监督管理。</w:t>
      </w:r>
    </w:p>
    <w:p>
      <w:pPr>
        <w:pStyle w:val="12"/>
        <w:shd w:val="clear" w:color="auto" w:fill="FFFFFF"/>
        <w:spacing w:before="0" w:beforeAutospacing="0" w:after="0" w:afterAutospacing="0" w:line="520" w:lineRule="exact"/>
        <w:ind w:firstLine="640" w:firstLineChars="200"/>
        <w:rPr>
          <w:rFonts w:ascii="仿宋_GB2312" w:hAnsi="仿宋_GB2312" w:eastAsia="仿宋_GB2312" w:cs="仿宋_GB2312"/>
          <w:color w:val="000000"/>
          <w:sz w:val="32"/>
          <w:szCs w:val="32"/>
          <w:shd w:val="clear" w:color="auto" w:fill="FFFFFF"/>
        </w:rPr>
      </w:pPr>
      <w:r>
        <w:rPr>
          <w:rFonts w:hint="eastAsia" w:ascii="黑体" w:hAnsi="黑体" w:eastAsia="黑体" w:cs="黑体"/>
          <w:color w:val="000000"/>
          <w:sz w:val="32"/>
          <w:szCs w:val="32"/>
          <w:shd w:val="clear" w:color="auto" w:fill="FFFFFF"/>
        </w:rPr>
        <w:t xml:space="preserve">第二十条  </w:t>
      </w:r>
      <w:r>
        <w:rPr>
          <w:rFonts w:hint="eastAsia" w:ascii="仿宋_GB2312" w:hAnsi="仿宋_GB2312" w:eastAsia="仿宋_GB2312" w:cs="仿宋_GB2312"/>
          <w:color w:val="000000"/>
          <w:sz w:val="32"/>
          <w:szCs w:val="32"/>
          <w:shd w:val="clear" w:color="auto" w:fill="FFFFFF"/>
        </w:rPr>
        <w:t>建设单位组织勘察、设计、施工、监理等单位实施工程验收时，应当将海绵城市建设内容纳入工程竣工验收范围。工程竣工验收报告应当载明海绵城市建设内容质量验收意见。海绵城市建设内容验收不合格的，建设项目不得通过竣工验收。</w:t>
      </w:r>
    </w:p>
    <w:p>
      <w:pPr>
        <w:pStyle w:val="12"/>
        <w:shd w:val="clear" w:color="auto" w:fill="FFFFFF"/>
        <w:spacing w:before="0" w:beforeAutospacing="0" w:after="0" w:afterAutospacing="0" w:line="520" w:lineRule="exac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建设单位应当及时收集、整理建设项目各环节的文件资料，建立建设项目档案，并在建设项目竣工验收后三个月内向住房和城乡建设主管部门或者其他有关部门移交建设项目档案。</w:t>
      </w:r>
    </w:p>
    <w:p>
      <w:pPr>
        <w:pStyle w:val="12"/>
        <w:shd w:val="clear" w:color="auto" w:fill="FFFFFF"/>
        <w:spacing w:before="0" w:beforeAutospacing="0" w:after="0" w:afterAutospacing="0" w:line="520" w:lineRule="exact"/>
        <w:ind w:firstLine="640" w:firstLineChars="200"/>
        <w:rPr>
          <w:rFonts w:ascii="仿宋_GB2312" w:hAnsi="仿宋_GB2312" w:eastAsia="仿宋_GB2312" w:cs="仿宋_GB2312"/>
          <w:color w:val="000000"/>
          <w:sz w:val="32"/>
          <w:szCs w:val="32"/>
          <w:shd w:val="clear" w:color="auto" w:fill="FFFFFF"/>
        </w:rPr>
      </w:pPr>
    </w:p>
    <w:p>
      <w:pPr>
        <w:pStyle w:val="12"/>
        <w:numPr>
          <w:ilvl w:val="0"/>
          <w:numId w:val="2"/>
        </w:numPr>
        <w:shd w:val="clear" w:color="auto" w:fill="FFFFFF"/>
        <w:spacing w:before="0" w:beforeAutospacing="0" w:after="0" w:afterAutospacing="0" w:line="520" w:lineRule="exact"/>
        <w:jc w:val="center"/>
        <w:rPr>
          <w:rFonts w:ascii="黑体" w:hAnsi="黑体" w:eastAsia="黑体" w:cs="黑体"/>
          <w:color w:val="000000"/>
          <w:sz w:val="32"/>
          <w:szCs w:val="32"/>
          <w:shd w:val="clear" w:color="auto" w:fill="FFFFFF"/>
        </w:rPr>
      </w:pPr>
      <w:r>
        <w:rPr>
          <w:rFonts w:hint="eastAsia" w:ascii="黑体" w:hAnsi="黑体" w:eastAsia="黑体" w:cs="黑体"/>
          <w:color w:val="000000"/>
          <w:sz w:val="32"/>
          <w:szCs w:val="32"/>
          <w:shd w:val="clear" w:color="auto" w:fill="FFFFFF"/>
        </w:rPr>
        <w:t>运营与维护</w:t>
      </w:r>
    </w:p>
    <w:p>
      <w:pPr>
        <w:pStyle w:val="12"/>
        <w:shd w:val="clear" w:color="auto" w:fill="FFFFFF"/>
        <w:spacing w:before="0" w:beforeAutospacing="0" w:after="0" w:afterAutospacing="0" w:line="520" w:lineRule="exact"/>
        <w:rPr>
          <w:rFonts w:ascii="黑体" w:hAnsi="黑体" w:eastAsia="黑体" w:cs="黑体"/>
          <w:color w:val="000000"/>
          <w:sz w:val="32"/>
          <w:szCs w:val="32"/>
          <w:shd w:val="clear" w:color="auto" w:fill="FFFFFF"/>
        </w:rPr>
      </w:pPr>
    </w:p>
    <w:p>
      <w:pPr>
        <w:pStyle w:val="12"/>
        <w:shd w:val="clear" w:color="auto" w:fill="FFFFFF"/>
        <w:spacing w:before="0" w:beforeAutospacing="0" w:after="0" w:afterAutospacing="0" w:line="520" w:lineRule="exact"/>
        <w:ind w:firstLine="640" w:firstLineChars="200"/>
        <w:rPr>
          <w:rFonts w:ascii="黑体" w:hAnsi="黑体" w:eastAsia="黑体" w:cs="黑体"/>
          <w:color w:val="000000"/>
          <w:sz w:val="32"/>
          <w:szCs w:val="32"/>
          <w:shd w:val="clear" w:color="auto" w:fill="FFFFFF"/>
        </w:rPr>
      </w:pPr>
      <w:r>
        <w:rPr>
          <w:rFonts w:hint="eastAsia" w:ascii="黑体" w:hAnsi="黑体" w:eastAsia="黑体" w:cs="黑体"/>
          <w:color w:val="000000"/>
          <w:sz w:val="32"/>
          <w:szCs w:val="32"/>
          <w:shd w:val="clear" w:color="auto" w:fill="FFFFFF"/>
        </w:rPr>
        <w:t xml:space="preserve">第二十一条  </w:t>
      </w:r>
      <w:r>
        <w:rPr>
          <w:rFonts w:hint="eastAsia" w:ascii="仿宋_GB2312" w:hAnsi="仿宋_GB2312" w:eastAsia="仿宋_GB2312" w:cs="仿宋_GB2312"/>
          <w:color w:val="000000"/>
          <w:sz w:val="32"/>
          <w:szCs w:val="32"/>
          <w:shd w:val="clear" w:color="auto" w:fill="FFFFFF"/>
        </w:rPr>
        <w:t>海绵城市设施竣工验收合格后，应当及时移交运营维护单位。未完成移交的，由建设单位负责运营维护。</w:t>
      </w:r>
      <w:r>
        <w:rPr>
          <w:rFonts w:hint="eastAsia" w:ascii="黑体" w:hAnsi="黑体" w:eastAsia="黑体" w:cs="黑体"/>
          <w:color w:val="000000"/>
          <w:sz w:val="32"/>
          <w:szCs w:val="32"/>
          <w:shd w:val="clear" w:color="auto" w:fill="FFFFFF"/>
        </w:rPr>
        <w:t xml:space="preserve"> </w:t>
      </w:r>
    </w:p>
    <w:p>
      <w:pPr>
        <w:pStyle w:val="12"/>
        <w:shd w:val="clear" w:color="auto" w:fill="FFFFFF"/>
        <w:spacing w:before="0" w:beforeAutospacing="0" w:after="0" w:afterAutospacing="0" w:line="520" w:lineRule="exact"/>
        <w:ind w:firstLine="640" w:firstLineChars="200"/>
        <w:rPr>
          <w:rFonts w:ascii="仿宋_GB2312" w:hAnsi="仿宋_GB2312" w:eastAsia="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政府投资建设的海绵城市设施由相关部门按照职责分工进行管理，并明确运营维护单位。</w:t>
      </w:r>
    </w:p>
    <w:p>
      <w:pPr>
        <w:pStyle w:val="12"/>
        <w:shd w:val="clear" w:color="auto" w:fill="FFFFFF"/>
        <w:spacing w:before="0" w:beforeAutospacing="0" w:after="0" w:afterAutospacing="0" w:line="520" w:lineRule="exact"/>
        <w:ind w:firstLine="640" w:firstLineChars="200"/>
        <w:rPr>
          <w:rFonts w:ascii="仿宋_GB2312" w:hAnsi="仿宋_GB2312" w:eastAsia="仿宋_GB2312"/>
          <w:color w:val="000000"/>
          <w:sz w:val="32"/>
          <w:szCs w:val="32"/>
        </w:rPr>
      </w:pPr>
      <w:r>
        <w:rPr>
          <w:rFonts w:hint="eastAsia" w:ascii="仿宋_GB2312" w:hAnsi="仿宋_GB2312" w:eastAsia="仿宋_GB2312" w:cs="仿宋_GB2312"/>
          <w:color w:val="000000"/>
          <w:sz w:val="32"/>
          <w:szCs w:val="32"/>
          <w:shd w:val="clear" w:color="auto" w:fill="FFFFFF"/>
        </w:rPr>
        <w:t>住宅小区、商业楼宇、工业厂区等社会资本投资建设的海绵城市设施由所有权人或者其委托单位负责运营维护。</w:t>
      </w:r>
    </w:p>
    <w:p>
      <w:pPr>
        <w:pStyle w:val="12"/>
        <w:shd w:val="clear" w:color="auto" w:fill="FFFFFF"/>
        <w:spacing w:before="0" w:beforeAutospacing="0" w:after="0" w:afterAutospacing="0" w:line="520" w:lineRule="exact"/>
        <w:ind w:firstLine="640" w:firstLineChars="200"/>
        <w:rPr>
          <w:rFonts w:ascii="仿宋_GB2312" w:hAnsi="仿宋_GB2312" w:eastAsia="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通过特许经营、政府和社会资本合作、政府购买服务等模式建设的海绵城市设施，按照合同约定进行运营维护。</w:t>
      </w:r>
    </w:p>
    <w:p>
      <w:pPr>
        <w:pStyle w:val="12"/>
        <w:shd w:val="clear" w:color="auto" w:fill="FFFFFF"/>
        <w:spacing w:before="0" w:beforeAutospacing="0" w:after="0" w:afterAutospacing="0" w:line="520" w:lineRule="exact"/>
        <w:ind w:firstLine="640" w:firstLineChars="200"/>
        <w:rPr>
          <w:rFonts w:ascii="仿宋_GB2312" w:hAnsi="仿宋_GB2312" w:eastAsia="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海绵城市设施运营维护单位不明确的，按照谁使用谁维护的原则确定或者由市、县级人民政府指定。</w:t>
      </w:r>
    </w:p>
    <w:p>
      <w:pPr>
        <w:pStyle w:val="12"/>
        <w:shd w:val="clear" w:color="auto" w:fill="FFFFFF"/>
        <w:spacing w:before="0" w:beforeAutospacing="0" w:after="0" w:afterAutospacing="0" w:line="520" w:lineRule="exact"/>
        <w:ind w:firstLine="640" w:firstLineChars="200"/>
        <w:rPr>
          <w:rFonts w:ascii="仿宋_GB2312" w:hAnsi="仿宋_GB2312" w:eastAsia="仿宋_GB2312"/>
          <w:color w:val="000000"/>
          <w:spacing w:val="-11"/>
          <w:sz w:val="32"/>
          <w:szCs w:val="32"/>
          <w:shd w:val="clear" w:color="auto" w:fill="FFFFFF"/>
        </w:rPr>
      </w:pPr>
      <w:r>
        <w:rPr>
          <w:rFonts w:hint="eastAsia" w:ascii="黑体" w:hAnsi="黑体" w:eastAsia="黑体" w:cs="黑体"/>
          <w:color w:val="000000"/>
          <w:sz w:val="32"/>
          <w:szCs w:val="32"/>
          <w:shd w:val="clear" w:color="auto" w:fill="FFFFFF"/>
        </w:rPr>
        <w:t xml:space="preserve">第二十二条  </w:t>
      </w:r>
      <w:r>
        <w:rPr>
          <w:rFonts w:hint="eastAsia" w:ascii="仿宋_GB2312" w:hAnsi="仿宋_GB2312" w:eastAsia="仿宋_GB2312" w:cs="仿宋_GB2312"/>
          <w:color w:val="000000"/>
          <w:sz w:val="32"/>
          <w:szCs w:val="32"/>
          <w:shd w:val="clear" w:color="auto" w:fill="FFFFFF"/>
        </w:rPr>
        <w:t>海绵城市设施运营维护单位应当建立健</w:t>
      </w:r>
      <w:r>
        <w:rPr>
          <w:rFonts w:hint="eastAsia" w:ascii="仿宋_GB2312" w:hAnsi="仿宋_GB2312" w:eastAsia="仿宋_GB2312" w:cs="仿宋_GB2312"/>
          <w:color w:val="000000"/>
          <w:spacing w:val="-11"/>
          <w:sz w:val="32"/>
          <w:szCs w:val="32"/>
          <w:shd w:val="clear" w:color="auto" w:fill="FFFFFF"/>
        </w:rPr>
        <w:t>全管理制度，按照下列要求做好运营维护工作：</w:t>
      </w:r>
    </w:p>
    <w:p>
      <w:pPr>
        <w:pStyle w:val="12"/>
        <w:shd w:val="clear" w:color="auto" w:fill="FFFFFF"/>
        <w:spacing w:before="0" w:beforeAutospacing="0" w:after="0" w:afterAutospacing="0" w:line="520" w:lineRule="exact"/>
        <w:ind w:firstLine="640" w:firstLineChars="200"/>
        <w:rPr>
          <w:rFonts w:ascii="仿宋_GB2312" w:hAnsi="仿宋_GB2312" w:eastAsia="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（一）对海绵城市重要设施进行标识、登记；</w:t>
      </w:r>
    </w:p>
    <w:p>
      <w:pPr>
        <w:pStyle w:val="12"/>
        <w:shd w:val="clear" w:color="auto" w:fill="FFFFFF"/>
        <w:spacing w:before="0" w:beforeAutospacing="0" w:after="0" w:afterAutospacing="0" w:line="520" w:lineRule="exact"/>
        <w:ind w:firstLine="640" w:firstLineChars="200"/>
        <w:rPr>
          <w:rFonts w:ascii="仿宋_GB2312" w:hAnsi="仿宋_GB2312" w:eastAsia="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（二）配备专人管理，对海绵城市设施定期进行巡查、清理、养护和维修；</w:t>
      </w:r>
    </w:p>
    <w:p>
      <w:pPr>
        <w:pStyle w:val="12"/>
        <w:shd w:val="clear" w:color="auto" w:fill="FFFFFF"/>
        <w:spacing w:before="0" w:beforeAutospacing="0" w:after="0" w:afterAutospacing="0" w:line="520" w:lineRule="exact"/>
        <w:ind w:firstLine="640" w:firstLineChars="200"/>
        <w:rPr>
          <w:rFonts w:ascii="仿宋_GB2312" w:hAnsi="仿宋_GB2312" w:eastAsia="仿宋_GB2312"/>
          <w:color w:val="000000"/>
          <w:spacing w:val="-11"/>
          <w:sz w:val="32"/>
          <w:szCs w:val="32"/>
          <w:shd w:val="clear" w:color="auto" w:fill="FFFFFF"/>
        </w:rPr>
      </w:pPr>
      <w:r>
        <w:rPr>
          <w:rFonts w:hint="eastAsia" w:ascii="仿宋_GB2312" w:hAnsi="仿宋_GB2312" w:eastAsia="仿宋_GB2312" w:cs="仿宋_GB2312"/>
          <w:color w:val="000000"/>
          <w:sz w:val="32"/>
          <w:szCs w:val="32"/>
          <w:shd w:val="clear" w:color="auto" w:fill="FFFFFF"/>
        </w:rPr>
        <w:t>（三）对海</w:t>
      </w:r>
      <w:r>
        <w:rPr>
          <w:rFonts w:hint="eastAsia" w:ascii="仿宋_GB2312" w:hAnsi="仿宋_GB2312" w:eastAsia="仿宋_GB2312" w:cs="仿宋_GB2312"/>
          <w:color w:val="000000"/>
          <w:spacing w:val="-11"/>
          <w:sz w:val="32"/>
          <w:szCs w:val="32"/>
          <w:shd w:val="clear" w:color="auto" w:fill="FFFFFF"/>
        </w:rPr>
        <w:t>绵城市设施功能进行检测、评估、维持和修复；</w:t>
      </w:r>
    </w:p>
    <w:p>
      <w:pPr>
        <w:pStyle w:val="12"/>
        <w:shd w:val="clear" w:color="auto" w:fill="FFFFFF"/>
        <w:spacing w:before="0" w:beforeAutospacing="0" w:after="0" w:afterAutospacing="0" w:line="520" w:lineRule="exact"/>
        <w:ind w:firstLine="640" w:firstLineChars="200"/>
        <w:rPr>
          <w:rFonts w:ascii="仿宋_GB2312" w:hAnsi="仿宋_GB2312" w:eastAsia="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（四）对运营维护人员开展教育和培训，制定应急处置预案和措施。</w:t>
      </w:r>
    </w:p>
    <w:p>
      <w:pPr>
        <w:pStyle w:val="12"/>
        <w:shd w:val="clear" w:color="auto" w:fill="FFFFFF"/>
        <w:spacing w:before="0" w:beforeAutospacing="0" w:after="0" w:afterAutospacing="0" w:line="520" w:lineRule="exact"/>
        <w:ind w:firstLine="640" w:firstLineChars="200"/>
        <w:rPr>
          <w:rFonts w:ascii="仿宋_GB2312" w:hAnsi="仿宋_GB2312" w:eastAsia="仿宋_GB2312"/>
          <w:color w:val="000000"/>
          <w:sz w:val="32"/>
          <w:szCs w:val="32"/>
          <w:shd w:val="clear" w:color="auto" w:fill="FFFFFF"/>
        </w:rPr>
      </w:pPr>
      <w:r>
        <w:rPr>
          <w:rFonts w:hint="eastAsia" w:ascii="黑体" w:hAnsi="黑体" w:eastAsia="黑体" w:cs="黑体"/>
          <w:color w:val="000000"/>
          <w:sz w:val="32"/>
          <w:szCs w:val="32"/>
          <w:shd w:val="clear" w:color="auto" w:fill="FFFFFF"/>
        </w:rPr>
        <w:t xml:space="preserve">第二十三条  </w:t>
      </w:r>
      <w:r>
        <w:rPr>
          <w:rFonts w:hint="eastAsia" w:ascii="仿宋_GB2312" w:hAnsi="仿宋_GB2312" w:eastAsia="仿宋_GB2312" w:cs="仿宋_GB2312"/>
          <w:color w:val="000000"/>
          <w:sz w:val="32"/>
          <w:szCs w:val="32"/>
          <w:shd w:val="clear" w:color="auto" w:fill="FFFFFF"/>
        </w:rPr>
        <w:t>任何单位和个人不得擅自拆改、侵占、损毁海绵城市设施。</w:t>
      </w:r>
    </w:p>
    <w:p>
      <w:pPr>
        <w:pStyle w:val="12"/>
        <w:shd w:val="clear" w:color="auto" w:fill="FFFFFF"/>
        <w:spacing w:before="0" w:beforeAutospacing="0" w:after="0" w:afterAutospacing="0" w:line="520" w:lineRule="exact"/>
        <w:ind w:firstLine="640" w:firstLineChars="200"/>
        <w:rPr>
          <w:rFonts w:ascii="仿宋_GB2312" w:hAnsi="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因城市管理、工程建设等需要挖掘、拆除、改动、占用海绵城市设施的，应当经相关行业主管部门和城市管理部门同意，并承担恢复、改建和采取临时措施的费用。</w:t>
      </w:r>
    </w:p>
    <w:p>
      <w:pPr>
        <w:adjustRightInd w:val="0"/>
        <w:snapToGrid w:val="0"/>
        <w:spacing w:line="520" w:lineRule="exact"/>
        <w:ind w:firstLine="640" w:firstLineChars="200"/>
        <w:textAlignment w:val="baseline"/>
        <w:rPr>
          <w:rFonts w:ascii="仿宋_GB2312" w:hAnsi="仿宋_GB2312" w:eastAsia="仿宋_GB2312"/>
          <w:color w:val="000000"/>
          <w:kern w:val="0"/>
          <w:sz w:val="32"/>
          <w:szCs w:val="32"/>
          <w:shd w:val="clear" w:color="auto" w:fill="FFFFFF"/>
        </w:rPr>
      </w:pPr>
      <w:r>
        <w:rPr>
          <w:rFonts w:hint="eastAsia" w:ascii="黑体" w:hAnsi="黑体" w:eastAsia="黑体" w:cs="黑体"/>
          <w:color w:val="000000"/>
          <w:kern w:val="0"/>
          <w:sz w:val="32"/>
          <w:szCs w:val="32"/>
          <w:shd w:val="clear" w:color="auto" w:fill="FFFFFF"/>
        </w:rPr>
        <w:t xml:space="preserve">第二十四条  </w:t>
      </w:r>
      <w:r>
        <w:rPr>
          <w:rFonts w:hint="eastAsia" w:ascii="仿宋_GB2312" w:hAnsi="仿宋_GB2312" w:eastAsia="仿宋_GB2312" w:cs="仿宋_GB2312"/>
          <w:color w:val="000000"/>
          <w:kern w:val="0"/>
          <w:sz w:val="32"/>
          <w:szCs w:val="32"/>
          <w:shd w:val="clear" w:color="auto" w:fill="FFFFFF"/>
        </w:rPr>
        <w:t>禁止对海绵城市设施实施下列危害行为：</w:t>
      </w:r>
    </w:p>
    <w:p>
      <w:pPr>
        <w:pStyle w:val="12"/>
        <w:shd w:val="clear" w:color="auto" w:fill="FFFFFF"/>
        <w:spacing w:before="0" w:beforeAutospacing="0" w:after="0" w:afterAutospacing="0" w:line="520" w:lineRule="exact"/>
        <w:ind w:firstLine="640" w:firstLineChars="200"/>
        <w:rPr>
          <w:rFonts w:ascii="仿宋_GB2312" w:hAnsi="仿宋_GB2312" w:eastAsia="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（一）倾倒垃圾、渣土、施工泥浆等易堵塞物；</w:t>
      </w:r>
    </w:p>
    <w:p>
      <w:pPr>
        <w:pStyle w:val="12"/>
        <w:shd w:val="clear" w:color="auto" w:fill="FFFFFF"/>
        <w:spacing w:before="0" w:beforeAutospacing="0" w:after="0" w:afterAutospacing="0" w:line="520" w:lineRule="exact"/>
        <w:ind w:firstLine="640" w:firstLineChars="200"/>
        <w:rPr>
          <w:rFonts w:ascii="仿宋_GB2312" w:hAnsi="仿宋_GB2312" w:eastAsia="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（二）排放或者倾倒剧毒、易燃易爆、腐蚀性废液废渣等危险化学品；</w:t>
      </w:r>
    </w:p>
    <w:p>
      <w:pPr>
        <w:pStyle w:val="12"/>
        <w:shd w:val="clear" w:color="auto" w:fill="FFFFFF"/>
        <w:spacing w:before="0" w:beforeAutospacing="0" w:after="0" w:afterAutospacing="0" w:line="520" w:lineRule="exact"/>
        <w:ind w:firstLine="640" w:firstLineChars="200"/>
        <w:rPr>
          <w:rFonts w:ascii="仿宋_GB2312" w:hAnsi="仿宋_GB2312" w:eastAsia="仿宋_GB2312" w:cs="仿宋_GB2312"/>
          <w:color w:val="000000"/>
          <w:spacing w:val="-6"/>
          <w:sz w:val="32"/>
          <w:szCs w:val="32"/>
          <w:shd w:val="clear" w:color="auto" w:fill="FFFFFF"/>
        </w:rPr>
      </w:pPr>
      <w:r>
        <w:rPr>
          <w:rFonts w:hint="eastAsia" w:ascii="仿宋_GB2312" w:hAnsi="仿宋_GB2312" w:eastAsia="仿宋_GB2312" w:cs="仿宋_GB2312"/>
          <w:color w:val="000000"/>
          <w:sz w:val="32"/>
          <w:szCs w:val="32"/>
          <w:shd w:val="clear" w:color="auto" w:fill="FFFFFF"/>
        </w:rPr>
        <w:t>（三）其</w:t>
      </w:r>
      <w:r>
        <w:rPr>
          <w:rFonts w:hint="eastAsia" w:ascii="仿宋_GB2312" w:hAnsi="仿宋_GB2312" w:eastAsia="仿宋_GB2312" w:cs="仿宋_GB2312"/>
          <w:color w:val="000000"/>
          <w:spacing w:val="-6"/>
          <w:sz w:val="32"/>
          <w:szCs w:val="32"/>
          <w:shd w:val="clear" w:color="auto" w:fill="FFFFFF"/>
        </w:rPr>
        <w:t>他对海绵城市设施造成危害的行为。</w:t>
      </w:r>
    </w:p>
    <w:p>
      <w:pPr>
        <w:pStyle w:val="12"/>
        <w:shd w:val="clear" w:color="auto" w:fill="FFFFFF"/>
        <w:spacing w:before="0" w:beforeAutospacing="0" w:after="0" w:afterAutospacing="0" w:line="520" w:lineRule="exact"/>
        <w:ind w:firstLine="616" w:firstLineChars="200"/>
        <w:rPr>
          <w:rFonts w:ascii="仿宋_GB2312" w:hAnsi="仿宋_GB2312" w:eastAsia="仿宋_GB2312" w:cs="仿宋_GB2312"/>
          <w:color w:val="000000"/>
          <w:spacing w:val="-6"/>
          <w:sz w:val="32"/>
          <w:szCs w:val="32"/>
          <w:shd w:val="clear" w:color="auto" w:fill="FFFFFF"/>
        </w:rPr>
      </w:pPr>
    </w:p>
    <w:p>
      <w:pPr>
        <w:pStyle w:val="12"/>
        <w:numPr>
          <w:ilvl w:val="0"/>
          <w:numId w:val="2"/>
        </w:numPr>
        <w:shd w:val="clear" w:color="auto" w:fill="FFFFFF"/>
        <w:spacing w:before="0" w:beforeAutospacing="0" w:after="0" w:afterAutospacing="0" w:line="520" w:lineRule="exact"/>
        <w:jc w:val="center"/>
        <w:rPr>
          <w:rFonts w:ascii="黑体" w:hAnsi="黑体" w:eastAsia="黑体" w:cs="黑体"/>
          <w:color w:val="000000"/>
          <w:sz w:val="32"/>
          <w:szCs w:val="32"/>
          <w:shd w:val="clear" w:color="auto" w:fill="FFFFFF"/>
        </w:rPr>
      </w:pPr>
      <w:r>
        <w:rPr>
          <w:rFonts w:hint="eastAsia" w:ascii="黑体" w:hAnsi="黑体" w:eastAsia="黑体" w:cs="黑体"/>
          <w:color w:val="000000"/>
          <w:sz w:val="32"/>
          <w:szCs w:val="32"/>
          <w:shd w:val="clear" w:color="auto" w:fill="FFFFFF"/>
        </w:rPr>
        <w:t xml:space="preserve"> 法律责任</w:t>
      </w:r>
    </w:p>
    <w:p>
      <w:pPr>
        <w:adjustRightInd w:val="0"/>
        <w:snapToGrid w:val="0"/>
        <w:spacing w:line="520" w:lineRule="exact"/>
        <w:ind w:firstLine="640" w:firstLineChars="200"/>
        <w:textAlignment w:val="baseline"/>
        <w:rPr>
          <w:rFonts w:ascii="黑体" w:hAnsi="黑体" w:eastAsia="黑体" w:cs="黑体"/>
          <w:color w:val="000000"/>
          <w:kern w:val="0"/>
          <w:sz w:val="32"/>
          <w:szCs w:val="32"/>
          <w:shd w:val="clear" w:color="auto" w:fill="FFFFFF"/>
        </w:rPr>
      </w:pPr>
    </w:p>
    <w:p>
      <w:pPr>
        <w:adjustRightInd w:val="0"/>
        <w:snapToGrid w:val="0"/>
        <w:spacing w:line="520" w:lineRule="exact"/>
        <w:ind w:firstLine="640" w:firstLineChars="200"/>
        <w:textAlignment w:val="baseline"/>
        <w:rPr>
          <w:rFonts w:ascii="仿宋_GB2312" w:hAnsi="仿宋_GB2312" w:eastAsia="仿宋_GB2312" w:cs="仿宋_GB2312"/>
          <w:color w:val="000000"/>
          <w:kern w:val="0"/>
          <w:sz w:val="32"/>
          <w:szCs w:val="32"/>
          <w:shd w:val="clear" w:color="auto" w:fill="FFFFFF"/>
        </w:rPr>
      </w:pPr>
      <w:r>
        <w:rPr>
          <w:rFonts w:hint="eastAsia" w:ascii="黑体" w:hAnsi="黑体" w:eastAsia="黑体" w:cs="黑体"/>
          <w:color w:val="000000"/>
          <w:kern w:val="0"/>
          <w:sz w:val="32"/>
          <w:szCs w:val="32"/>
          <w:shd w:val="clear" w:color="auto" w:fill="FFFFFF"/>
        </w:rPr>
        <w:t xml:space="preserve">第二十五条  </w:t>
      </w:r>
      <w:r>
        <w:rPr>
          <w:rFonts w:hint="eastAsia" w:ascii="仿宋_GB2312" w:hAnsi="仿宋_GB2312" w:eastAsia="仿宋_GB2312" w:cs="仿宋_GB2312"/>
          <w:color w:val="000000"/>
          <w:kern w:val="0"/>
          <w:sz w:val="32"/>
          <w:szCs w:val="32"/>
          <w:shd w:val="clear" w:color="auto" w:fill="FFFFFF"/>
        </w:rPr>
        <w:t>违反本条例第二十二条规定，运营维护单位因运营维护不当造成海绵城市设施设备损坏或者无法发挥正常功能的，由住房和城乡建设、交通运输、水利、城市管理等部门按照各自职责责令其按照原标准限期修复；造成损失的，依法承担赔偿责任。</w:t>
      </w:r>
    </w:p>
    <w:p>
      <w:pPr>
        <w:pStyle w:val="12"/>
        <w:shd w:val="clear" w:color="auto" w:fill="FFFFFF"/>
        <w:spacing w:before="0" w:beforeAutospacing="0" w:after="0" w:afterAutospacing="0" w:line="520" w:lineRule="exact"/>
        <w:ind w:firstLine="640" w:firstLineChars="200"/>
        <w:rPr>
          <w:rFonts w:ascii="仿宋_GB2312" w:hAnsi="仿宋_GB2312" w:eastAsia="仿宋_GB2312" w:cs="仿宋_GB2312"/>
          <w:color w:val="000000"/>
          <w:sz w:val="32"/>
          <w:szCs w:val="32"/>
          <w:shd w:val="clear" w:color="auto" w:fill="FFFFFF"/>
        </w:rPr>
      </w:pPr>
      <w:r>
        <w:rPr>
          <w:rFonts w:hint="eastAsia" w:ascii="黑体" w:hAnsi="黑体" w:eastAsia="黑体" w:cs="黑体"/>
          <w:color w:val="000000"/>
          <w:sz w:val="32"/>
          <w:szCs w:val="32"/>
          <w:shd w:val="clear" w:color="auto" w:fill="FFFFFF"/>
        </w:rPr>
        <w:t xml:space="preserve">第二十六条  </w:t>
      </w:r>
      <w:r>
        <w:rPr>
          <w:rFonts w:hint="eastAsia" w:ascii="仿宋_GB2312" w:hAnsi="仿宋_GB2312" w:eastAsia="仿宋_GB2312" w:cs="仿宋_GB2312"/>
          <w:color w:val="000000"/>
          <w:sz w:val="32"/>
          <w:szCs w:val="32"/>
          <w:shd w:val="clear" w:color="auto" w:fill="FFFFFF"/>
        </w:rPr>
        <w:t>负有海绵城市规划建设管理职责的部门及其工作人员滥用职权、玩忽职守、徇私舞弊的，依法给予处分；构成犯罪的，依法追究刑事责任。</w:t>
      </w:r>
    </w:p>
    <w:p>
      <w:pPr>
        <w:pStyle w:val="12"/>
        <w:shd w:val="clear" w:color="auto" w:fill="FFFFFF"/>
        <w:spacing w:before="0" w:beforeAutospacing="0" w:after="0" w:afterAutospacing="0" w:line="520" w:lineRule="exact"/>
        <w:ind w:firstLine="640" w:firstLineChars="200"/>
        <w:rPr>
          <w:rFonts w:ascii="仿宋_GB2312" w:hAnsi="仿宋_GB2312" w:eastAsia="仿宋_GB2312"/>
          <w:color w:val="000000"/>
          <w:sz w:val="32"/>
          <w:szCs w:val="32"/>
          <w:shd w:val="clear" w:color="auto" w:fill="FFFFFF"/>
        </w:rPr>
      </w:pPr>
      <w:r>
        <w:rPr>
          <w:rFonts w:hint="eastAsia" w:ascii="黑体" w:hAnsi="黑体" w:eastAsia="黑体" w:cs="黑体"/>
          <w:color w:val="000000"/>
          <w:sz w:val="32"/>
          <w:szCs w:val="32"/>
          <w:shd w:val="clear" w:color="auto" w:fill="FFFFFF"/>
          <w:lang w:val="zh-CN"/>
        </w:rPr>
        <w:t>第二十七条</w:t>
      </w:r>
      <w:r>
        <w:rPr>
          <w:rFonts w:hint="eastAsia" w:ascii="黑体" w:hAnsi="黑体" w:eastAsia="黑体" w:cs="黑体"/>
          <w:color w:val="000000"/>
          <w:sz w:val="32"/>
          <w:szCs w:val="32"/>
          <w:shd w:val="clear" w:color="auto" w:fill="FFFFFF"/>
        </w:rPr>
        <w:t xml:space="preserve">  </w:t>
      </w:r>
      <w:r>
        <w:rPr>
          <w:rFonts w:hint="eastAsia" w:ascii="仿宋_GB2312" w:hAnsi="仿宋_GB2312" w:eastAsia="仿宋_GB2312" w:cs="仿宋_GB2312"/>
          <w:color w:val="000000"/>
          <w:sz w:val="32"/>
          <w:szCs w:val="32"/>
          <w:shd w:val="clear" w:color="auto" w:fill="FFFFFF"/>
        </w:rPr>
        <w:t>违反本条例规定的行为，法律法规已有处罚规定的，从其规定。</w:t>
      </w:r>
    </w:p>
    <w:p>
      <w:pPr>
        <w:pStyle w:val="12"/>
        <w:shd w:val="clear" w:color="auto" w:fill="FFFFFF"/>
        <w:spacing w:before="0" w:beforeAutospacing="0" w:after="0" w:afterAutospacing="0" w:line="520" w:lineRule="exact"/>
        <w:ind w:firstLine="640" w:firstLineChars="200"/>
        <w:rPr>
          <w:rFonts w:ascii="仿宋_GB2312" w:hAnsi="仿宋_GB2312" w:eastAsia="仿宋_GB2312" w:cs="仿宋_GB2312"/>
          <w:color w:val="000000"/>
          <w:sz w:val="32"/>
          <w:szCs w:val="32"/>
          <w:shd w:val="clear" w:color="auto" w:fill="FFFFFF"/>
        </w:rPr>
      </w:pPr>
    </w:p>
    <w:p>
      <w:pPr>
        <w:pStyle w:val="12"/>
        <w:shd w:val="clear" w:color="auto" w:fill="FFFFFF"/>
        <w:spacing w:before="0" w:beforeAutospacing="0" w:after="0" w:afterAutospacing="0" w:line="520" w:lineRule="exact"/>
        <w:jc w:val="center"/>
        <w:rPr>
          <w:rFonts w:ascii="仿宋" w:hAnsi="仿宋" w:eastAsia="仿宋"/>
          <w:b/>
          <w:bCs/>
          <w:color w:val="000000"/>
          <w:sz w:val="32"/>
          <w:szCs w:val="32"/>
          <w:shd w:val="clear" w:color="auto" w:fill="FFFFFF"/>
        </w:rPr>
      </w:pPr>
      <w:r>
        <w:rPr>
          <w:rFonts w:hint="eastAsia" w:ascii="黑体" w:hAnsi="黑体" w:eastAsia="黑体" w:cs="黑体"/>
          <w:color w:val="000000"/>
          <w:sz w:val="32"/>
          <w:szCs w:val="32"/>
          <w:shd w:val="clear" w:color="auto" w:fill="FFFFFF"/>
        </w:rPr>
        <w:t>第五章  附</w:t>
      </w:r>
      <w:r>
        <w:rPr>
          <w:rFonts w:hint="eastAsia" w:ascii="黑体" w:hAnsi="黑体" w:eastAsia="黑体" w:cs="黑体"/>
          <w:color w:val="000000"/>
          <w:sz w:val="32"/>
          <w:szCs w:val="32"/>
          <w:shd w:val="clear" w:color="auto" w:fill="FFFFFF"/>
          <w:lang w:val="en-US" w:eastAsia="zh-CN"/>
        </w:rPr>
        <w:t xml:space="preserve">  </w:t>
      </w:r>
      <w:bookmarkStart w:id="3" w:name="_GoBack"/>
      <w:bookmarkEnd w:id="3"/>
      <w:r>
        <w:rPr>
          <w:rFonts w:hint="eastAsia" w:ascii="黑体" w:hAnsi="黑体" w:eastAsia="黑体" w:cs="黑体"/>
          <w:color w:val="000000"/>
          <w:sz w:val="32"/>
          <w:szCs w:val="32"/>
          <w:shd w:val="clear" w:color="auto" w:fill="FFFFFF"/>
        </w:rPr>
        <w:t>则</w:t>
      </w:r>
    </w:p>
    <w:p>
      <w:pPr>
        <w:adjustRightInd w:val="0"/>
        <w:snapToGrid w:val="0"/>
        <w:spacing w:line="520" w:lineRule="exact"/>
        <w:ind w:firstLine="640" w:firstLineChars="200"/>
        <w:rPr>
          <w:rFonts w:ascii="黑体" w:hAnsi="黑体" w:eastAsia="黑体" w:cs="黑体"/>
          <w:color w:val="000000"/>
          <w:kern w:val="0"/>
          <w:sz w:val="32"/>
          <w:szCs w:val="32"/>
          <w:shd w:val="clear" w:color="auto" w:fill="FFFFFF"/>
          <w:lang w:val="zh-CN"/>
        </w:rPr>
      </w:pPr>
    </w:p>
    <w:p>
      <w:pPr>
        <w:widowControl/>
        <w:shd w:val="clear" w:color="auto" w:fill="FFFFFF"/>
        <w:spacing w:line="520" w:lineRule="exact"/>
        <w:ind w:firstLine="640" w:firstLineChars="200"/>
        <w:jc w:val="left"/>
        <w:textAlignment w:val="baseline"/>
        <w:rPr>
          <w:rFonts w:ascii="仿宋_GB2312" w:hAnsi="仿宋_GB2312" w:eastAsia="仿宋_GB2312" w:cs="仿宋_GB2312"/>
          <w:color w:val="000000"/>
          <w:sz w:val="32"/>
          <w:szCs w:val="32"/>
          <w:shd w:val="clear" w:color="auto" w:fill="FFFFFF"/>
        </w:rPr>
      </w:pPr>
      <w:r>
        <w:rPr>
          <w:rFonts w:hint="eastAsia" w:ascii="黑体" w:hAnsi="黑体" w:eastAsia="黑体" w:cs="黑体"/>
          <w:color w:val="000000"/>
          <w:sz w:val="32"/>
          <w:szCs w:val="32"/>
          <w:shd w:val="clear" w:color="auto" w:fill="FFFFFF"/>
          <w:lang w:val="zh-CN"/>
        </w:rPr>
        <w:t>第二十八条</w:t>
      </w:r>
      <w:r>
        <w:rPr>
          <w:rFonts w:hint="eastAsia" w:ascii="黑体" w:hAnsi="黑体" w:eastAsia="黑体" w:cs="黑体"/>
          <w:color w:val="000000"/>
          <w:sz w:val="32"/>
          <w:szCs w:val="32"/>
          <w:shd w:val="clear" w:color="auto" w:fill="FFFFFF"/>
        </w:rPr>
        <w:t xml:space="preserve">  </w:t>
      </w:r>
      <w:r>
        <w:rPr>
          <w:rFonts w:hint="eastAsia" w:ascii="仿宋_GB2312" w:hAnsi="仿宋_GB2312" w:eastAsia="仿宋_GB2312" w:cs="仿宋_GB2312"/>
          <w:color w:val="000000"/>
          <w:sz w:val="32"/>
          <w:szCs w:val="32"/>
          <w:shd w:val="clear" w:color="auto" w:fill="FFFFFF"/>
        </w:rPr>
        <w:t>本条例所称海绵城市设施，是指采用自然或者人工模拟自然生态系统控制城市雨水径流的设施，包括但不限于建筑与小区、道路与广场、停车场、公园绿地、排水设施中的下列设施：</w:t>
      </w:r>
    </w:p>
    <w:p>
      <w:pPr>
        <w:adjustRightInd w:val="0"/>
        <w:snapToGrid w:val="0"/>
        <w:spacing w:line="520" w:lineRule="exac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（一）透水铺装、绿色屋顶、下沉式绿地、生物滞留设施（雨水花园、生物滞留池等）、渗透塘、渗井等滞蓄渗透设施；</w:t>
      </w:r>
    </w:p>
    <w:p>
      <w:pPr>
        <w:adjustRightInd w:val="0"/>
        <w:snapToGrid w:val="0"/>
        <w:spacing w:line="520" w:lineRule="exac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（二）湿塘、蓄水池、雨水罐等集蓄利用设施；</w:t>
      </w:r>
    </w:p>
    <w:p>
      <w:pPr>
        <w:adjustRightInd w:val="0"/>
        <w:snapToGrid w:val="0"/>
        <w:spacing w:line="520" w:lineRule="exac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（三）调节塘、调节池等调节设施；</w:t>
      </w:r>
    </w:p>
    <w:p>
      <w:pPr>
        <w:adjustRightInd w:val="0"/>
        <w:snapToGrid w:val="0"/>
        <w:spacing w:line="520" w:lineRule="exac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（四）植草沟、渗管、渗渠等转输设施；</w:t>
      </w:r>
    </w:p>
    <w:p>
      <w:pPr>
        <w:adjustRightInd w:val="0"/>
        <w:snapToGrid w:val="0"/>
        <w:spacing w:line="520" w:lineRule="exac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（五）植被缓冲带、初期雨水弃流设施、人工土壤渗滤、雨水湿地等净化设施；</w:t>
      </w:r>
    </w:p>
    <w:p>
      <w:pPr>
        <w:adjustRightInd w:val="0"/>
        <w:snapToGrid w:val="0"/>
        <w:spacing w:line="520" w:lineRule="exact"/>
        <w:ind w:firstLine="640" w:firstLineChars="200"/>
        <w:rPr>
          <w:rFonts w:ascii="仿宋_GB2312" w:hAnsi="仿宋_GB2312" w:eastAsia="仿宋_GB2312" w:cs="仿宋_GB2312"/>
          <w:color w:val="000000"/>
          <w:sz w:val="32"/>
          <w:szCs w:val="32"/>
          <w:shd w:val="clear" w:color="auto" w:fill="FFFFFF"/>
        </w:rPr>
      </w:pPr>
      <w:bookmarkStart w:id="2" w:name="tiao_37_kuan_1_xiang_5_mu_1"/>
      <w:bookmarkEnd w:id="2"/>
      <w:r>
        <w:rPr>
          <w:rFonts w:hint="eastAsia" w:ascii="仿宋_GB2312" w:hAnsi="仿宋_GB2312" w:eastAsia="仿宋_GB2312" w:cs="仿宋_GB2312"/>
          <w:color w:val="000000"/>
          <w:sz w:val="32"/>
          <w:szCs w:val="32"/>
          <w:shd w:val="clear" w:color="auto" w:fill="FFFFFF"/>
        </w:rPr>
        <w:t>（六）具有渗、滞、蓄、净、用、排等功能的其他设施。</w:t>
      </w:r>
    </w:p>
    <w:p>
      <w:pPr>
        <w:pStyle w:val="12"/>
        <w:shd w:val="clear" w:color="auto" w:fill="FFFFFF"/>
        <w:spacing w:before="0" w:beforeAutospacing="0" w:after="0" w:afterAutospacing="0" w:line="520" w:lineRule="exact"/>
        <w:ind w:firstLine="640" w:firstLineChars="200"/>
        <w:rPr>
          <w:rFonts w:eastAsia="仿宋_GB2312"/>
          <w:color w:val="000000"/>
        </w:rPr>
      </w:pPr>
      <w:r>
        <w:rPr>
          <w:rFonts w:hint="eastAsia" w:ascii="黑体" w:hAnsi="黑体" w:eastAsia="黑体" w:cs="黑体"/>
          <w:color w:val="000000"/>
          <w:sz w:val="32"/>
          <w:szCs w:val="32"/>
          <w:shd w:val="clear" w:color="auto" w:fill="FFFFFF"/>
          <w:lang w:val="zh-CN"/>
        </w:rPr>
        <w:t>第二十九条</w:t>
      </w:r>
      <w:r>
        <w:rPr>
          <w:rFonts w:hint="eastAsia" w:ascii="黑体" w:hAnsi="黑体" w:eastAsia="黑体" w:cs="黑体"/>
          <w:color w:val="000000"/>
          <w:sz w:val="32"/>
          <w:szCs w:val="32"/>
          <w:shd w:val="clear" w:color="auto" w:fill="FFFFFF"/>
        </w:rPr>
        <w:t xml:space="preserve">  </w:t>
      </w:r>
      <w:r>
        <w:rPr>
          <w:rFonts w:hint="eastAsia" w:ascii="仿宋_GB2312" w:hAnsi="仿宋_GB2312" w:eastAsia="仿宋_GB2312" w:cs="仿宋_GB2312"/>
          <w:color w:val="000000"/>
          <w:sz w:val="32"/>
          <w:szCs w:val="32"/>
          <w:shd w:val="clear" w:color="auto" w:fill="FFFFFF"/>
        </w:rPr>
        <w:t>本</w:t>
      </w:r>
      <w:r>
        <w:rPr>
          <w:rFonts w:hint="eastAsia" w:ascii="仿宋_GB2312" w:hAnsi="仿宋_GB2312" w:eastAsia="仿宋_GB2312" w:cs="仿宋_GB2312"/>
          <w:color w:val="000000"/>
          <w:spacing w:val="-6"/>
          <w:sz w:val="32"/>
          <w:szCs w:val="32"/>
          <w:shd w:val="clear" w:color="auto" w:fill="FFFFFF"/>
        </w:rPr>
        <w:t>条例自</w:t>
      </w:r>
      <w:r>
        <w:rPr>
          <w:rFonts w:ascii="仿宋_GB2312" w:hAnsi="仿宋_GB2312" w:eastAsia="仿宋_GB2312" w:cs="仿宋_GB2312"/>
          <w:color w:val="000000"/>
          <w:spacing w:val="-6"/>
          <w:sz w:val="32"/>
          <w:szCs w:val="32"/>
          <w:shd w:val="clear" w:color="auto" w:fill="FFFFFF"/>
        </w:rPr>
        <w:t>2024</w:t>
      </w:r>
      <w:r>
        <w:rPr>
          <w:rFonts w:hint="eastAsia" w:ascii="仿宋_GB2312" w:hAnsi="仿宋_GB2312" w:eastAsia="仿宋_GB2312" w:cs="仿宋_GB2312"/>
          <w:color w:val="000000"/>
          <w:spacing w:val="-6"/>
          <w:sz w:val="32"/>
          <w:szCs w:val="32"/>
          <w:shd w:val="clear" w:color="auto" w:fill="FFFFFF"/>
        </w:rPr>
        <w:t>年1月1日起施行</w:t>
      </w:r>
      <w:r>
        <w:rPr>
          <w:rFonts w:hint="eastAsia" w:ascii="仿宋_GB2312" w:hAnsi="仿宋_GB2312" w:eastAsia="仿宋_GB2312" w:cs="仿宋_GB2312"/>
          <w:color w:val="000000"/>
          <w:sz w:val="32"/>
          <w:szCs w:val="32"/>
          <w:shd w:val="clear" w:color="auto" w:fill="FFFFFF"/>
        </w:rPr>
        <w:t>。</w:t>
      </w:r>
    </w:p>
    <w:p>
      <w:pPr>
        <w:pStyle w:val="8"/>
        <w:rPr>
          <w:color w:val="000000"/>
        </w:rPr>
      </w:pPr>
    </w:p>
    <w:p>
      <w:pPr>
        <w:pStyle w:val="2"/>
        <w:rPr>
          <w:rFonts w:ascii="方正黑体_GBK" w:hAnsi="方正黑体_GBK" w:eastAsia="方正黑体_GBK" w:cs="方正黑体_GBK"/>
          <w:sz w:val="32"/>
          <w:szCs w:val="32"/>
        </w:rPr>
      </w:pPr>
    </w:p>
    <w:p>
      <w:pPr>
        <w:pStyle w:val="2"/>
        <w:rPr>
          <w:rFonts w:ascii="方正黑体_GBK" w:hAnsi="方正黑体_GBK" w:eastAsia="方正黑体_GBK" w:cs="方正黑体_GBK"/>
          <w:sz w:val="32"/>
          <w:szCs w:val="32"/>
        </w:rPr>
      </w:pPr>
    </w:p>
    <w:p>
      <w:pPr>
        <w:pStyle w:val="2"/>
        <w:rPr>
          <w:rFonts w:ascii="方正黑体_GBK" w:hAnsi="方正黑体_GBK" w:eastAsia="方正黑体_GBK" w:cs="方正黑体_GBK"/>
          <w:sz w:val="32"/>
          <w:szCs w:val="32"/>
        </w:rPr>
      </w:pPr>
    </w:p>
    <w:sectPr>
      <w:headerReference r:id="rId3" w:type="default"/>
      <w:footerReference r:id="rId4" w:type="default"/>
      <w:pgSz w:w="11906" w:h="16838"/>
      <w:pgMar w:top="2098" w:right="1531" w:bottom="1588" w:left="1531" w:header="851" w:footer="113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方正细黑一_GBK"/>
    <w:panose1 w:val="00000000000000000000"/>
    <w:charset w:val="86"/>
    <w:family w:val="auto"/>
    <w:pitch w:val="default"/>
    <w:sig w:usb0="00000000" w:usb1="00000000" w:usb2="00000016" w:usb3="00000000" w:csb0="0004000F" w:csb1="00000000"/>
  </w:font>
  <w:font w:name="仿宋_GB2312">
    <w:altName w:val="方正仿宋_GBK"/>
    <w:panose1 w:val="02010609030101010101"/>
    <w:charset w:val="86"/>
    <w:family w:val="modern"/>
    <w:pitch w:val="default"/>
    <w:sig w:usb0="00000000" w:usb1="00000000" w:usb2="00000010" w:usb3="00000000" w:csb0="00040000" w:csb1="00000000"/>
  </w:font>
  <w:font w:name="方正小标宋简体">
    <w:panose1 w:val="02000000000000000000"/>
    <w:charset w:val="86"/>
    <w:family w:val="auto"/>
    <w:pitch w:val="default"/>
    <w:sig w:usb0="A00002BF" w:usb1="184F6CFA" w:usb2="00000012" w:usb3="00000000" w:csb0="00040001" w:csb1="00000000"/>
  </w:font>
  <w:font w:name="CESI楷体-GB2312">
    <w:panose1 w:val="02000500000000000000"/>
    <w:charset w:val="86"/>
    <w:family w:val="auto"/>
    <w:pitch w:val="default"/>
    <w:sig w:usb0="800002BF" w:usb1="184F6CF8" w:usb2="00000012" w:usb3="00000000" w:csb0="0004000F" w:csb1="00000000"/>
  </w:font>
  <w:font w:name="楷体_GB2312">
    <w:altName w:val="方正楷体_GBK"/>
    <w:panose1 w:val="02010609030101010101"/>
    <w:charset w:val="86"/>
    <w:family w:val="modern"/>
    <w:pitch w:val="default"/>
    <w:sig w:usb0="00000000" w:usb1="00000000" w:usb2="00000010" w:usb3="00000000" w:csb0="00040000" w:csb1="00000000"/>
  </w:font>
  <w:font w:name="CESI黑体-GB2312">
    <w:panose1 w:val="02000500000000000000"/>
    <w:charset w:val="86"/>
    <w:family w:val="auto"/>
    <w:pitch w:val="default"/>
    <w:sig w:usb0="800002BF" w:usb1="184F6CF8" w:usb2="00000012" w:usb3="00000000" w:csb0="0004000F" w:csb1="00000000"/>
  </w:font>
  <w:font w:name="CESI仿宋-GB2312">
    <w:panose1 w:val="02000500000000000000"/>
    <w:charset w:val="86"/>
    <w:family w:val="auto"/>
    <w:pitch w:val="default"/>
    <w:sig w:usb0="800002AF" w:usb1="084F6CF8" w:usb2="00000010" w:usb3="00000000" w:csb0="0004000F" w:csb1="00000000"/>
  </w:font>
  <w:font w:name="仿宋">
    <w:altName w:val="方正仿宋_GBK"/>
    <w:panose1 w:val="02010609060101010101"/>
    <w:charset w:val="86"/>
    <w:family w:val="modern"/>
    <w:pitch w:val="default"/>
    <w:sig w:usb0="00000000" w:usb1="00000000"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A8TPSHQIAACkEAAAOAAAAZHJz&#10;L2Uyb0RvYy54bWytU82O0zAQviPxDpbvNGlRV1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9eT/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IDxM9IdAgAAKQQAAA4AAAAAAAAAAQAgAAAANQEAAGRycy9lMm9Eb2MueG1sUEsF&#10;BgAAAAAGAAYAWQEAAMQFAAAAAA==&#10;">
              <v:fill on="f" focussize="0,0"/>
              <v:stroke on="f" weight="0.5pt"/>
              <v:imagedata o:title=""/>
              <o:lock v:ext="edit" aspectratio="f"/>
              <v:textbox inset="0mm,0mm,0mm,0mm" style="mso-fit-shape-to-text:t;">
                <w:txbxContent>
                  <w:p>
                    <w:pPr>
                      <w:pStyle w:val="9"/>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FEF6E9"/>
    <w:multiLevelType w:val="singleLevel"/>
    <w:tmpl w:val="CBFEF6E9"/>
    <w:lvl w:ilvl="0" w:tentative="0">
      <w:start w:val="3"/>
      <w:numFmt w:val="chineseCounting"/>
      <w:suff w:val="space"/>
      <w:lvlText w:val="第%1章"/>
      <w:lvlJc w:val="left"/>
      <w:rPr>
        <w:rFonts w:hint="eastAsia"/>
      </w:rPr>
    </w:lvl>
  </w:abstractNum>
  <w:abstractNum w:abstractNumId="1">
    <w:nsid w:val="FFE3606F"/>
    <w:multiLevelType w:val="singleLevel"/>
    <w:tmpl w:val="FFE3606F"/>
    <w:lvl w:ilvl="0" w:tentative="0">
      <w:start w:val="1"/>
      <w:numFmt w:val="chineseCounting"/>
      <w:suff w:val="space"/>
      <w:lvlText w:val="第%1章"/>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NotTrackMoves/>
  <w:documentProtection w:enforcement="0"/>
  <w:defaultTabStop w:val="420"/>
  <w:drawingGridHorizontalSpacing w:val="105"/>
  <w:drawingGridVerticalSpacing w:val="156"/>
  <w:noPunctuationKerning w:val="true"/>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ZGZiNzZiNDVlOGViOWVmM2JhOTY0NGJkNjUyYzgifQ=="/>
  </w:docVars>
  <w:rsids>
    <w:rsidRoot w:val="0DA053DD"/>
    <w:rsid w:val="000000EC"/>
    <w:rsid w:val="001B3220"/>
    <w:rsid w:val="001F20A3"/>
    <w:rsid w:val="00230052"/>
    <w:rsid w:val="002570B7"/>
    <w:rsid w:val="002C5BA2"/>
    <w:rsid w:val="00365ACA"/>
    <w:rsid w:val="00365D07"/>
    <w:rsid w:val="00386229"/>
    <w:rsid w:val="003A159C"/>
    <w:rsid w:val="004133C2"/>
    <w:rsid w:val="00530095"/>
    <w:rsid w:val="00594EA5"/>
    <w:rsid w:val="005B2DE7"/>
    <w:rsid w:val="005E07F0"/>
    <w:rsid w:val="00613E8A"/>
    <w:rsid w:val="006250A6"/>
    <w:rsid w:val="00663E5C"/>
    <w:rsid w:val="00680D80"/>
    <w:rsid w:val="00680DA7"/>
    <w:rsid w:val="007D7B7F"/>
    <w:rsid w:val="007F4053"/>
    <w:rsid w:val="00805933"/>
    <w:rsid w:val="00817943"/>
    <w:rsid w:val="008B0DF6"/>
    <w:rsid w:val="008C0A3D"/>
    <w:rsid w:val="009541AA"/>
    <w:rsid w:val="009D128A"/>
    <w:rsid w:val="00A0212C"/>
    <w:rsid w:val="00B111B3"/>
    <w:rsid w:val="00B808FC"/>
    <w:rsid w:val="00C05754"/>
    <w:rsid w:val="00C17651"/>
    <w:rsid w:val="00C21D13"/>
    <w:rsid w:val="00C647C9"/>
    <w:rsid w:val="00C75238"/>
    <w:rsid w:val="00CC69C4"/>
    <w:rsid w:val="00D73963"/>
    <w:rsid w:val="00D85ED4"/>
    <w:rsid w:val="00E27006"/>
    <w:rsid w:val="00E31F14"/>
    <w:rsid w:val="00E3573A"/>
    <w:rsid w:val="00ED045D"/>
    <w:rsid w:val="00F05AEA"/>
    <w:rsid w:val="00F1154F"/>
    <w:rsid w:val="00F82990"/>
    <w:rsid w:val="015A256B"/>
    <w:rsid w:val="01EE7297"/>
    <w:rsid w:val="025707F5"/>
    <w:rsid w:val="02D631F4"/>
    <w:rsid w:val="02FC675A"/>
    <w:rsid w:val="03236667"/>
    <w:rsid w:val="064475DA"/>
    <w:rsid w:val="06923806"/>
    <w:rsid w:val="0AAE0FCC"/>
    <w:rsid w:val="0DA053DD"/>
    <w:rsid w:val="0F3D53B5"/>
    <w:rsid w:val="11427ECF"/>
    <w:rsid w:val="117F2617"/>
    <w:rsid w:val="1533550A"/>
    <w:rsid w:val="15B47742"/>
    <w:rsid w:val="17900D2A"/>
    <w:rsid w:val="18F00CD9"/>
    <w:rsid w:val="19964644"/>
    <w:rsid w:val="199D3041"/>
    <w:rsid w:val="19D613A8"/>
    <w:rsid w:val="1A196A66"/>
    <w:rsid w:val="1A556FE9"/>
    <w:rsid w:val="1ADC6230"/>
    <w:rsid w:val="1AED3DC6"/>
    <w:rsid w:val="1B3469F0"/>
    <w:rsid w:val="1D3D4268"/>
    <w:rsid w:val="1D5B5E80"/>
    <w:rsid w:val="1E712F57"/>
    <w:rsid w:val="21412F4E"/>
    <w:rsid w:val="21BB6F0D"/>
    <w:rsid w:val="23350244"/>
    <w:rsid w:val="2380061A"/>
    <w:rsid w:val="24403759"/>
    <w:rsid w:val="284038EB"/>
    <w:rsid w:val="28F002E9"/>
    <w:rsid w:val="2CED1CD2"/>
    <w:rsid w:val="2CFD1301"/>
    <w:rsid w:val="2D5820E2"/>
    <w:rsid w:val="2DFE8B5E"/>
    <w:rsid w:val="2FFE94D0"/>
    <w:rsid w:val="30E63EF0"/>
    <w:rsid w:val="310044D1"/>
    <w:rsid w:val="31ED2740"/>
    <w:rsid w:val="323609ED"/>
    <w:rsid w:val="32400A56"/>
    <w:rsid w:val="34CE6AC1"/>
    <w:rsid w:val="378B258F"/>
    <w:rsid w:val="37B83661"/>
    <w:rsid w:val="37E111B2"/>
    <w:rsid w:val="39D53999"/>
    <w:rsid w:val="3A8B3779"/>
    <w:rsid w:val="3B5655C5"/>
    <w:rsid w:val="3BAFBE12"/>
    <w:rsid w:val="3BF13963"/>
    <w:rsid w:val="3C0A282E"/>
    <w:rsid w:val="3C8F3555"/>
    <w:rsid w:val="3D575F14"/>
    <w:rsid w:val="3D875A17"/>
    <w:rsid w:val="3E2567C4"/>
    <w:rsid w:val="3EDF7F0A"/>
    <w:rsid w:val="3F7B8D03"/>
    <w:rsid w:val="3FFA67C7"/>
    <w:rsid w:val="43883A17"/>
    <w:rsid w:val="43C56C62"/>
    <w:rsid w:val="461E1F78"/>
    <w:rsid w:val="47C44BFC"/>
    <w:rsid w:val="482B1D2A"/>
    <w:rsid w:val="48314DCD"/>
    <w:rsid w:val="48DFE313"/>
    <w:rsid w:val="4AA60520"/>
    <w:rsid w:val="4C84282B"/>
    <w:rsid w:val="4D24166C"/>
    <w:rsid w:val="4D585267"/>
    <w:rsid w:val="4D5D7F07"/>
    <w:rsid w:val="4DB854B0"/>
    <w:rsid w:val="4FFEF18A"/>
    <w:rsid w:val="50D0401C"/>
    <w:rsid w:val="50F36F23"/>
    <w:rsid w:val="525455A6"/>
    <w:rsid w:val="5281207A"/>
    <w:rsid w:val="53BE3F78"/>
    <w:rsid w:val="53E25E2A"/>
    <w:rsid w:val="554670E1"/>
    <w:rsid w:val="557F8C50"/>
    <w:rsid w:val="565C0F8C"/>
    <w:rsid w:val="56A762EB"/>
    <w:rsid w:val="59405196"/>
    <w:rsid w:val="5CB2773E"/>
    <w:rsid w:val="5DDB40A7"/>
    <w:rsid w:val="5EE478E7"/>
    <w:rsid w:val="5EEEB0B9"/>
    <w:rsid w:val="60D772B5"/>
    <w:rsid w:val="625577B1"/>
    <w:rsid w:val="628F3D0A"/>
    <w:rsid w:val="63A64257"/>
    <w:rsid w:val="647F3E80"/>
    <w:rsid w:val="64B03C3F"/>
    <w:rsid w:val="66F717E1"/>
    <w:rsid w:val="67593F0A"/>
    <w:rsid w:val="6775D2CC"/>
    <w:rsid w:val="67E279A7"/>
    <w:rsid w:val="682A658D"/>
    <w:rsid w:val="695F094E"/>
    <w:rsid w:val="696879FB"/>
    <w:rsid w:val="69A93D7F"/>
    <w:rsid w:val="69C71777"/>
    <w:rsid w:val="6AEF73A9"/>
    <w:rsid w:val="6B3F6D57"/>
    <w:rsid w:val="6BFB0C26"/>
    <w:rsid w:val="6FEECB41"/>
    <w:rsid w:val="707627E3"/>
    <w:rsid w:val="71681969"/>
    <w:rsid w:val="73BD1F39"/>
    <w:rsid w:val="77A14B53"/>
    <w:rsid w:val="790B7633"/>
    <w:rsid w:val="79455C91"/>
    <w:rsid w:val="79EB439B"/>
    <w:rsid w:val="7C822AA3"/>
    <w:rsid w:val="7C907025"/>
    <w:rsid w:val="7D77D839"/>
    <w:rsid w:val="7DECB60C"/>
    <w:rsid w:val="7E4A56F0"/>
    <w:rsid w:val="7E9A3CC2"/>
    <w:rsid w:val="7EBFC979"/>
    <w:rsid w:val="7EEF0614"/>
    <w:rsid w:val="7F7F2726"/>
    <w:rsid w:val="7FBA3E39"/>
    <w:rsid w:val="7FBBFBBF"/>
    <w:rsid w:val="7FEEE320"/>
    <w:rsid w:val="7FF3D011"/>
    <w:rsid w:val="7FF64414"/>
    <w:rsid w:val="9DEECB74"/>
    <w:rsid w:val="A8EE621D"/>
    <w:rsid w:val="B6BF6773"/>
    <w:rsid w:val="BBFE0DB2"/>
    <w:rsid w:val="BFB928A0"/>
    <w:rsid w:val="BFFADBBA"/>
    <w:rsid w:val="C3787A44"/>
    <w:rsid w:val="C3D7C161"/>
    <w:rsid w:val="CFFD6525"/>
    <w:rsid w:val="D39D5B42"/>
    <w:rsid w:val="D7E0F2BF"/>
    <w:rsid w:val="D9AB3704"/>
    <w:rsid w:val="DAFA0DB0"/>
    <w:rsid w:val="DB7BBB5B"/>
    <w:rsid w:val="DD7496D3"/>
    <w:rsid w:val="E1A386C3"/>
    <w:rsid w:val="EBF7E586"/>
    <w:rsid w:val="EFF8F324"/>
    <w:rsid w:val="EFFB5FF9"/>
    <w:rsid w:val="F26F0064"/>
    <w:rsid w:val="F629C7C0"/>
    <w:rsid w:val="F75BFCDD"/>
    <w:rsid w:val="F77F818E"/>
    <w:rsid w:val="FB7F01BB"/>
    <w:rsid w:val="FDA922F5"/>
    <w:rsid w:val="FE9F04CC"/>
    <w:rsid w:val="FFA5388F"/>
    <w:rsid w:val="FFD7F320"/>
    <w:rsid w:val="FFD94FBA"/>
    <w:rsid w:val="FFFF6CC7"/>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3"/>
    <w:basedOn w:val="1"/>
    <w:next w:val="1"/>
    <w:qFormat/>
    <w:uiPriority w:val="0"/>
    <w:pPr>
      <w:spacing w:beforeAutospacing="1" w:afterAutospacing="1"/>
      <w:jc w:val="left"/>
      <w:outlineLvl w:val="2"/>
    </w:pPr>
    <w:rPr>
      <w:rFonts w:hint="eastAsia" w:ascii="宋体" w:hAnsi="宋体"/>
      <w:b/>
      <w:bCs/>
      <w:kern w:val="0"/>
      <w:sz w:val="27"/>
      <w:szCs w:val="27"/>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hAnsi="Courier New"/>
    </w:rPr>
  </w:style>
  <w:style w:type="paragraph" w:styleId="4">
    <w:name w:val="annotation text"/>
    <w:basedOn w:val="1"/>
    <w:qFormat/>
    <w:uiPriority w:val="0"/>
    <w:pPr>
      <w:jc w:val="left"/>
    </w:pPr>
  </w:style>
  <w:style w:type="paragraph" w:styleId="5">
    <w:name w:val="Body Text"/>
    <w:basedOn w:val="1"/>
    <w:next w:val="6"/>
    <w:qFormat/>
    <w:uiPriority w:val="0"/>
    <w:pPr>
      <w:spacing w:after="120"/>
    </w:pPr>
    <w:rPr>
      <w:rFonts w:cs="黑体"/>
    </w:rPr>
  </w:style>
  <w:style w:type="paragraph" w:styleId="6">
    <w:name w:val="Body Text First Indent"/>
    <w:basedOn w:val="5"/>
    <w:next w:val="1"/>
    <w:unhideWhenUsed/>
    <w:qFormat/>
    <w:uiPriority w:val="0"/>
    <w:pPr>
      <w:ind w:firstLine="420" w:firstLineChars="100"/>
    </w:pPr>
    <w:rPr>
      <w:rFonts w:ascii="Times New Roman" w:hAnsi="Times New Roman"/>
      <w:szCs w:val="22"/>
    </w:rPr>
  </w:style>
  <w:style w:type="paragraph" w:styleId="7">
    <w:name w:val="Body Text Indent"/>
    <w:basedOn w:val="1"/>
    <w:next w:val="8"/>
    <w:qFormat/>
    <w:uiPriority w:val="0"/>
    <w:pPr>
      <w:spacing w:after="120"/>
      <w:ind w:left="420" w:leftChars="200"/>
    </w:pPr>
  </w:style>
  <w:style w:type="paragraph" w:styleId="8">
    <w:name w:val="Body Text First Indent 2"/>
    <w:basedOn w:val="7"/>
    <w:next w:val="1"/>
    <w:qFormat/>
    <w:uiPriority w:val="99"/>
    <w:pPr>
      <w:ind w:firstLine="420" w:firstLineChars="200"/>
    </w:pPr>
  </w:style>
  <w:style w:type="paragraph" w:styleId="9">
    <w:name w:val="footer"/>
    <w:basedOn w:val="1"/>
    <w:link w:val="19"/>
    <w:qFormat/>
    <w:uiPriority w:val="99"/>
    <w:pPr>
      <w:tabs>
        <w:tab w:val="center" w:pos="4153"/>
        <w:tab w:val="right" w:pos="8306"/>
      </w:tabs>
      <w:snapToGrid w:val="0"/>
      <w:jc w:val="left"/>
    </w:pPr>
    <w:rPr>
      <w:sz w:val="18"/>
      <w:szCs w:val="18"/>
    </w:rPr>
  </w:style>
  <w:style w:type="paragraph" w:styleId="10">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11">
    <w:name w:val="footnote text"/>
    <w:basedOn w:val="1"/>
    <w:qFormat/>
    <w:uiPriority w:val="0"/>
    <w:pPr>
      <w:snapToGrid w:val="0"/>
      <w:jc w:val="left"/>
    </w:pPr>
    <w:rPr>
      <w:sz w:val="28"/>
    </w:rPr>
  </w:style>
  <w:style w:type="paragraph" w:styleId="12">
    <w:name w:val="Normal (Web)"/>
    <w:basedOn w:val="1"/>
    <w:qFormat/>
    <w:uiPriority w:val="99"/>
    <w:pPr>
      <w:spacing w:before="100" w:beforeAutospacing="1" w:after="100" w:afterAutospacing="1"/>
    </w:pPr>
    <w:rPr>
      <w:rFonts w:ascii="宋体" w:hAnsi="宋体" w:cs="宋体"/>
      <w:sz w:val="24"/>
    </w:rPr>
  </w:style>
  <w:style w:type="character" w:styleId="15">
    <w:name w:val="Strong"/>
    <w:basedOn w:val="14"/>
    <w:qFormat/>
    <w:uiPriority w:val="0"/>
    <w:rPr>
      <w:b/>
    </w:rPr>
  </w:style>
  <w:style w:type="character" w:styleId="16">
    <w:name w:val="page number"/>
    <w:basedOn w:val="14"/>
    <w:qFormat/>
    <w:uiPriority w:val="0"/>
  </w:style>
  <w:style w:type="character" w:styleId="17">
    <w:name w:val="FollowedHyperlink"/>
    <w:basedOn w:val="14"/>
    <w:qFormat/>
    <w:uiPriority w:val="0"/>
    <w:rPr>
      <w:rFonts w:ascii="Arial" w:hAnsi="Arial" w:cs="Arial"/>
      <w:color w:val="333333"/>
      <w:u w:val="none"/>
    </w:rPr>
  </w:style>
  <w:style w:type="character" w:styleId="18">
    <w:name w:val="Hyperlink"/>
    <w:basedOn w:val="14"/>
    <w:qFormat/>
    <w:uiPriority w:val="0"/>
    <w:rPr>
      <w:color w:val="0000FF"/>
      <w:u w:val="single"/>
    </w:rPr>
  </w:style>
  <w:style w:type="character" w:customStyle="1" w:styleId="19">
    <w:name w:val="页脚 Char"/>
    <w:basedOn w:val="14"/>
    <w:link w:val="9"/>
    <w:qFormat/>
    <w:uiPriority w:val="99"/>
    <w:rPr>
      <w:rFonts w:ascii="Calibri" w:hAnsi="Calibri"/>
      <w:kern w:val="2"/>
      <w:sz w:val="18"/>
      <w:szCs w:val="18"/>
    </w:rPr>
  </w:style>
  <w:style w:type="character" w:customStyle="1" w:styleId="20">
    <w:name w:val="页眉 Char"/>
    <w:basedOn w:val="14"/>
    <w:link w:val="10"/>
    <w:qFormat/>
    <w:uiPriority w:val="0"/>
    <w:rPr>
      <w:rFonts w:ascii="Calibri" w:hAnsi="Calibri" w:eastAsia="宋体" w:cs="Times New Roman"/>
      <w:kern w:val="2"/>
      <w:sz w:val="18"/>
      <w:szCs w:val="18"/>
    </w:rPr>
  </w:style>
  <w:style w:type="paragraph" w:customStyle="1" w:styleId="21">
    <w:name w:val="段"/>
    <w:next w:val="1"/>
    <w:qFormat/>
    <w:uiPriority w:val="99"/>
    <w:pPr>
      <w:autoSpaceDE w:val="0"/>
      <w:autoSpaceDN w:val="0"/>
      <w:adjustRightInd w:val="0"/>
      <w:snapToGrid w:val="0"/>
      <w:spacing w:line="360" w:lineRule="auto"/>
      <w:ind w:firstLine="200" w:firstLineChars="200"/>
      <w:jc w:val="both"/>
    </w:pPr>
    <w:rPr>
      <w:rFonts w:ascii="宋体" w:hAnsi="Calibri" w:eastAsia="宋体" w:cs="宋体"/>
      <w:sz w:val="24"/>
      <w:szCs w:val="24"/>
      <w:lang w:val="en-US" w:eastAsia="zh-CN" w:bidi="ar-SA"/>
    </w:rPr>
  </w:style>
  <w:style w:type="paragraph" w:customStyle="1" w:styleId="22">
    <w:name w:val="_Style 3"/>
    <w:basedOn w:val="1"/>
    <w:qFormat/>
    <w:uiPriority w:val="0"/>
    <w:pPr>
      <w:spacing w:before="100" w:beforeAutospacing="1" w:after="100" w:afterAutospacing="1"/>
    </w:pPr>
    <w:rPr>
      <w:szCs w:val="20"/>
    </w:rPr>
  </w:style>
  <w:style w:type="character" w:customStyle="1" w:styleId="23">
    <w:name w:val="NormalCharacter"/>
    <w:semiHidden/>
    <w:qFormat/>
    <w:uiPriority w:val="0"/>
  </w:style>
  <w:style w:type="paragraph" w:styleId="24">
    <w:name w:val="List Paragraph"/>
    <w:basedOn w:val="1"/>
    <w:qFormat/>
    <w:uiPriority w:val="34"/>
    <w:pPr>
      <w:ind w:firstLine="420" w:firstLineChars="200"/>
    </w:pPr>
  </w:style>
  <w:style w:type="paragraph" w:customStyle="1" w:styleId="25">
    <w:name w:val="HtmlNormal"/>
    <w:basedOn w:val="1"/>
    <w:qFormat/>
    <w:uiPriority w:val="0"/>
    <w:pPr>
      <w:spacing w:before="100" w:beforeAutospacing="1" w:after="100" w:afterAutospacing="1"/>
      <w:jc w:val="left"/>
    </w:pPr>
    <w:rPr>
      <w:rFonts w:ascii="等线" w:hAnsi="等线" w:eastAsia="等线" w:cs="等线"/>
      <w:kern w:val="0"/>
      <w:sz w:val="24"/>
      <w:szCs w:val="21"/>
    </w:rPr>
  </w:style>
  <w:style w:type="paragraph" w:customStyle="1" w:styleId="26">
    <w:name w:val="正文 New"/>
    <w:qFormat/>
    <w:uiPriority w:val="0"/>
    <w:pPr>
      <w:widowControl w:val="0"/>
      <w:jc w:val="both"/>
    </w:pPr>
    <w:rPr>
      <w:rFonts w:ascii="Calibri" w:hAnsi="Calibri" w:eastAsia="仿宋_GB2312" w:cs="Times New Roman"/>
      <w:kern w:val="2"/>
      <w:sz w:val="32"/>
      <w:szCs w:val="24"/>
      <w:lang w:val="en-US" w:eastAsia="zh-CN" w:bidi="ar-SA"/>
    </w:rPr>
  </w:style>
  <w:style w:type="paragraph" w:customStyle="1" w:styleId="27">
    <w:name w:val="Body Text First Indent 21"/>
    <w:basedOn w:val="1"/>
    <w:qFormat/>
    <w:uiPriority w:val="99"/>
    <w:pPr>
      <w:ind w:left="420" w:leftChars="200" w:firstLine="210"/>
    </w:pPr>
    <w:rPr>
      <w:rFonts w:cs="Calibri"/>
      <w:szCs w:val="21"/>
    </w:rPr>
  </w:style>
  <w:style w:type="paragraph" w:customStyle="1" w:styleId="28">
    <w:name w:val="正文 A"/>
    <w:qFormat/>
    <w:uiPriority w:val="99"/>
    <w:pPr>
      <w:widowControl w:val="0"/>
      <w:jc w:val="both"/>
    </w:pPr>
    <w:rPr>
      <w:rFonts w:ascii="Calibri" w:hAnsi="Calibri" w:eastAsia="Calibri" w:cs="Calibri"/>
      <w:color w:val="000000"/>
      <w:kern w:val="2"/>
      <w:sz w:val="21"/>
      <w:szCs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46</Pages>
  <Words>3448</Words>
  <Characters>19656</Characters>
  <Lines>163</Lines>
  <Paragraphs>46</Paragraphs>
  <TotalTime>70</TotalTime>
  <ScaleCrop>false</ScaleCrop>
  <LinksUpToDate>false</LinksUpToDate>
  <CharactersWithSpaces>23058</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2023-09-05T02:57:00Z</dcterms:created>
  <dc:creator>songliu</dc:creator>
  <cp:lastModifiedBy>爽锅仔</cp:lastModifiedBy>
  <cp:lastPrinted>2022-09-06T07:37:00Z</cp:lastPrinted>
  <dcterms:modified xsi:type="dcterms:W3CDTF">2023-10-18T17:06:25Z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14614523E69E49DCAD15534A3A3011C4_13</vt:lpwstr>
  </property>
</Properties>
</file>